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6E" w:rsidRDefault="00383B8E">
      <w:pPr>
        <w:spacing w:before="4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-566420</wp:posOffset>
                </wp:positionV>
                <wp:extent cx="4881880" cy="1042670"/>
                <wp:effectExtent l="0" t="0" r="0" b="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1042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19F" w:rsidRPr="004B577B" w:rsidRDefault="0093519F" w:rsidP="004B577B">
                            <w:pPr>
                              <w:jc w:val="center"/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IMPACT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146pt;margin-top:-44.6pt;width:384.4pt;height:8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" fillcolor="#365f91 [2404]" stroked="f">
                <v:textbox>
                  <w:txbxContent>
                    <w:p w:rsidR="0093519F" w:rsidRPr="004B577B" w:rsidRDefault="0093519F" w:rsidP="004B577B">
                      <w:pPr>
                        <w:jc w:val="center"/>
                        <w:rPr>
                          <w:color w:val="FFFFFF" w:themeColor="background1"/>
                          <w:sz w:val="120"/>
                          <w:szCs w:val="120"/>
                        </w:rPr>
                      </w:pPr>
                      <w:r>
                        <w:rPr>
                          <w:color w:val="FFFFFF" w:themeColor="background1"/>
                          <w:sz w:val="120"/>
                          <w:szCs w:val="120"/>
                        </w:rPr>
                        <w:t>IMPACT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-495300</wp:posOffset>
            </wp:positionV>
            <wp:extent cx="1579880" cy="1714500"/>
            <wp:effectExtent l="0" t="0" r="127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16E" w:rsidRDefault="005E716E">
      <w:pPr>
        <w:spacing w:line="200" w:lineRule="exact"/>
        <w:rPr>
          <w:sz w:val="20"/>
          <w:szCs w:val="20"/>
        </w:rPr>
      </w:pPr>
    </w:p>
    <w:p w:rsidR="005E716E" w:rsidRDefault="005E716E">
      <w:pPr>
        <w:spacing w:line="200" w:lineRule="exact"/>
        <w:rPr>
          <w:sz w:val="20"/>
          <w:szCs w:val="20"/>
        </w:rPr>
      </w:pPr>
    </w:p>
    <w:p w:rsidR="005E716E" w:rsidRDefault="005E716E">
      <w:pPr>
        <w:spacing w:line="200" w:lineRule="exact"/>
        <w:rPr>
          <w:sz w:val="20"/>
          <w:szCs w:val="20"/>
        </w:rPr>
      </w:pPr>
    </w:p>
    <w:p w:rsidR="005E716E" w:rsidRPr="008D7B54" w:rsidRDefault="00383B8E" w:rsidP="008D7B54">
      <w:pPr>
        <w:pStyle w:val="Heading1"/>
        <w:spacing w:before="65" w:line="242" w:lineRule="auto"/>
        <w:ind w:left="3145" w:right="300"/>
        <w:jc w:val="center"/>
        <w:rPr>
          <w:rFonts w:asciiTheme="minorHAnsi" w:hAnsiTheme="minorHAnsi"/>
          <w:b w:val="0"/>
          <w:bCs w:val="0"/>
        </w:rPr>
      </w:pPr>
      <w:r w:rsidRPr="008D7B54">
        <w:rPr>
          <w:rFonts w:asciiTheme="minorHAnsi" w:hAnsiTheme="minorHAnsi"/>
          <w:color w:val="2756A2"/>
          <w:spacing w:val="-1"/>
        </w:rPr>
        <w:t>Through</w:t>
      </w:r>
      <w:r w:rsidRPr="008D7B54">
        <w:rPr>
          <w:rFonts w:asciiTheme="minorHAnsi" w:hAnsiTheme="minorHAnsi"/>
          <w:color w:val="2756A2"/>
          <w:spacing w:val="1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Extension</w:t>
      </w:r>
      <w:r w:rsidRPr="008D7B54">
        <w:rPr>
          <w:rFonts w:asciiTheme="minorHAnsi" w:hAnsiTheme="minorHAnsi"/>
          <w:color w:val="2756A2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programs</w:t>
      </w:r>
      <w:r w:rsidRPr="008D7B54">
        <w:rPr>
          <w:rFonts w:asciiTheme="minorHAnsi" w:hAnsiTheme="minorHAnsi"/>
          <w:color w:val="2756A2"/>
        </w:rPr>
        <w:t xml:space="preserve"> across </w:t>
      </w:r>
      <w:r w:rsidRPr="008D7B54">
        <w:rPr>
          <w:rFonts w:asciiTheme="minorHAnsi" w:hAnsiTheme="minorHAnsi"/>
          <w:color w:val="2756A2"/>
          <w:spacing w:val="-1"/>
        </w:rPr>
        <w:t>the</w:t>
      </w:r>
      <w:r w:rsidRPr="008D7B54">
        <w:rPr>
          <w:rFonts w:asciiTheme="minorHAnsi" w:hAnsiTheme="minorHAnsi"/>
          <w:color w:val="2756A2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nation,</w:t>
      </w:r>
      <w:r w:rsidRPr="008D7B54">
        <w:rPr>
          <w:rFonts w:asciiTheme="minorHAnsi" w:hAnsiTheme="minorHAnsi"/>
          <w:color w:val="2756A2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Family</w:t>
      </w:r>
      <w:r w:rsidRPr="008D7B54">
        <w:rPr>
          <w:rFonts w:asciiTheme="minorHAnsi" w:hAnsiTheme="minorHAnsi"/>
          <w:color w:val="2756A2"/>
        </w:rPr>
        <w:t xml:space="preserve"> and</w:t>
      </w:r>
      <w:r w:rsidRPr="008D7B54">
        <w:rPr>
          <w:rFonts w:asciiTheme="minorHAnsi" w:hAnsiTheme="minorHAnsi"/>
          <w:color w:val="2756A2"/>
          <w:spacing w:val="-2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Consumer</w:t>
      </w:r>
      <w:r w:rsidRPr="008D7B54">
        <w:rPr>
          <w:rFonts w:asciiTheme="minorHAnsi" w:hAnsiTheme="minorHAnsi"/>
          <w:color w:val="2756A2"/>
          <w:spacing w:val="45"/>
        </w:rPr>
        <w:t xml:space="preserve"> </w:t>
      </w:r>
      <w:r w:rsidRPr="008D7B54">
        <w:rPr>
          <w:rFonts w:asciiTheme="minorHAnsi" w:hAnsiTheme="minorHAnsi"/>
          <w:color w:val="2756A2"/>
        </w:rPr>
        <w:t xml:space="preserve">Science </w:t>
      </w:r>
      <w:r w:rsidRPr="008D7B54">
        <w:rPr>
          <w:rFonts w:asciiTheme="minorHAnsi" w:hAnsiTheme="minorHAnsi"/>
          <w:color w:val="2756A2"/>
          <w:spacing w:val="-1"/>
        </w:rPr>
        <w:t>Extension</w:t>
      </w:r>
      <w:r w:rsidRPr="008D7B54">
        <w:rPr>
          <w:rFonts w:asciiTheme="minorHAnsi" w:hAnsiTheme="minorHAnsi"/>
          <w:color w:val="2756A2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Educators</w:t>
      </w:r>
      <w:r w:rsidRPr="008D7B54">
        <w:rPr>
          <w:rFonts w:asciiTheme="minorHAnsi" w:hAnsiTheme="minorHAnsi"/>
          <w:color w:val="2756A2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provide</w:t>
      </w:r>
      <w:r w:rsidRPr="008D7B54">
        <w:rPr>
          <w:rFonts w:asciiTheme="minorHAnsi" w:hAnsiTheme="minorHAnsi"/>
          <w:color w:val="2756A2"/>
        </w:rPr>
        <w:t xml:space="preserve"> a</w:t>
      </w:r>
      <w:r w:rsidRPr="008D7B54">
        <w:rPr>
          <w:rFonts w:asciiTheme="minorHAnsi" w:hAnsiTheme="minorHAnsi"/>
          <w:color w:val="2756A2"/>
          <w:spacing w:val="-3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multitude</w:t>
      </w:r>
      <w:r w:rsidRPr="008D7B54">
        <w:rPr>
          <w:rFonts w:asciiTheme="minorHAnsi" w:hAnsiTheme="minorHAnsi"/>
          <w:color w:val="2756A2"/>
          <w:spacing w:val="-2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of</w:t>
      </w:r>
      <w:r w:rsidRPr="008D7B54">
        <w:rPr>
          <w:rFonts w:asciiTheme="minorHAnsi" w:hAnsiTheme="minorHAnsi"/>
          <w:color w:val="2756A2"/>
          <w:spacing w:val="1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educational</w:t>
      </w:r>
      <w:r w:rsidRPr="008D7B54">
        <w:rPr>
          <w:rFonts w:asciiTheme="minorHAnsi" w:hAnsiTheme="minorHAnsi"/>
          <w:color w:val="2756A2"/>
          <w:spacing w:val="45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opportunities</w:t>
      </w:r>
      <w:r w:rsidRPr="008D7B54">
        <w:rPr>
          <w:rFonts w:asciiTheme="minorHAnsi" w:hAnsiTheme="minorHAnsi"/>
          <w:color w:val="2756A2"/>
          <w:spacing w:val="6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to</w:t>
      </w:r>
      <w:r w:rsidRPr="008D7B54">
        <w:rPr>
          <w:rFonts w:asciiTheme="minorHAnsi" w:hAnsiTheme="minorHAnsi"/>
          <w:color w:val="2756A2"/>
          <w:spacing w:val="8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meet</w:t>
      </w:r>
      <w:r w:rsidRPr="008D7B54">
        <w:rPr>
          <w:rFonts w:asciiTheme="minorHAnsi" w:hAnsiTheme="minorHAnsi"/>
          <w:color w:val="2756A2"/>
          <w:spacing w:val="8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the</w:t>
      </w:r>
      <w:r w:rsidRPr="008D7B54">
        <w:rPr>
          <w:rFonts w:asciiTheme="minorHAnsi" w:hAnsiTheme="minorHAnsi"/>
          <w:color w:val="2756A2"/>
          <w:spacing w:val="4"/>
        </w:rPr>
        <w:t xml:space="preserve"> </w:t>
      </w:r>
      <w:r w:rsidRPr="008D7B54">
        <w:rPr>
          <w:rFonts w:asciiTheme="minorHAnsi" w:hAnsiTheme="minorHAnsi"/>
          <w:color w:val="2756A2"/>
        </w:rPr>
        <w:t>needs</w:t>
      </w:r>
      <w:r w:rsidRPr="008D7B54">
        <w:rPr>
          <w:rFonts w:asciiTheme="minorHAnsi" w:hAnsiTheme="minorHAnsi"/>
          <w:color w:val="2756A2"/>
          <w:spacing w:val="7"/>
        </w:rPr>
        <w:t xml:space="preserve"> </w:t>
      </w:r>
      <w:r w:rsidRPr="008D7B54">
        <w:rPr>
          <w:rFonts w:asciiTheme="minorHAnsi" w:hAnsiTheme="minorHAnsi"/>
          <w:color w:val="2756A2"/>
        </w:rPr>
        <w:t>of</w:t>
      </w:r>
      <w:r w:rsidRPr="008D7B54">
        <w:rPr>
          <w:rFonts w:asciiTheme="minorHAnsi" w:hAnsiTheme="minorHAnsi"/>
          <w:color w:val="2756A2"/>
          <w:spacing w:val="6"/>
        </w:rPr>
        <w:t xml:space="preserve"> </w:t>
      </w:r>
      <w:r w:rsidRPr="008D7B54">
        <w:rPr>
          <w:rFonts w:asciiTheme="minorHAnsi" w:hAnsiTheme="minorHAnsi"/>
          <w:color w:val="2756A2"/>
        </w:rPr>
        <w:t>diverse</w:t>
      </w:r>
      <w:r w:rsidRPr="008D7B54">
        <w:rPr>
          <w:rFonts w:asciiTheme="minorHAnsi" w:hAnsiTheme="minorHAnsi"/>
          <w:color w:val="2756A2"/>
          <w:spacing w:val="7"/>
        </w:rPr>
        <w:t xml:space="preserve"> </w:t>
      </w:r>
      <w:r w:rsidRPr="008D7B54">
        <w:rPr>
          <w:rFonts w:asciiTheme="minorHAnsi" w:hAnsiTheme="minorHAnsi"/>
          <w:color w:val="2756A2"/>
          <w:spacing w:val="-1"/>
        </w:rPr>
        <w:t>audiences.</w:t>
      </w:r>
    </w:p>
    <w:p w:rsidR="004B577B" w:rsidRPr="00F557DF" w:rsidRDefault="00F557DF" w:rsidP="00F557DF">
      <w:pPr>
        <w:tabs>
          <w:tab w:val="left" w:pos="4695"/>
        </w:tabs>
        <w:spacing w:before="34"/>
        <w:ind w:left="1257" w:right="1277"/>
        <w:rPr>
          <w:rFonts w:ascii="Arial Narrow"/>
          <w:b/>
          <w:color w:val="2756A2"/>
          <w:spacing w:val="-1"/>
          <w:sz w:val="16"/>
          <w:szCs w:val="16"/>
        </w:rPr>
      </w:pPr>
      <w:r>
        <w:rPr>
          <w:rFonts w:ascii="Arial Narrow"/>
          <w:b/>
          <w:color w:val="2756A2"/>
          <w:spacing w:val="-1"/>
          <w:sz w:val="28"/>
          <w:szCs w:val="28"/>
        </w:rPr>
        <w:tab/>
      </w:r>
    </w:p>
    <w:p w:rsidR="005E716E" w:rsidRDefault="00CD691A">
      <w:pPr>
        <w:spacing w:before="34"/>
        <w:ind w:left="1257" w:right="1277"/>
        <w:jc w:val="center"/>
        <w:rPr>
          <w:rFonts w:ascii="Arial Narrow" w:eastAsia="Arial Narrow" w:hAnsi="Arial Narrow" w:cs="Arial Narrow"/>
          <w:sz w:val="48"/>
          <w:szCs w:val="48"/>
        </w:rPr>
      </w:pPr>
      <w:r>
        <w:rPr>
          <w:rFonts w:ascii="Arial Narrow"/>
          <w:b/>
          <w:color w:val="2756A2"/>
          <w:spacing w:val="-1"/>
          <w:sz w:val="48"/>
        </w:rPr>
        <w:t>Financial Management</w:t>
      </w:r>
    </w:p>
    <w:p w:rsidR="005E716E" w:rsidRDefault="005E716E">
      <w:pPr>
        <w:spacing w:before="9" w:line="240" w:lineRule="exact"/>
        <w:rPr>
          <w:sz w:val="24"/>
          <w:szCs w:val="24"/>
        </w:rPr>
      </w:pPr>
    </w:p>
    <w:p w:rsidR="0085075F" w:rsidRDefault="0085075F" w:rsidP="00CD691A">
      <w:pPr>
        <w:rPr>
          <w:b/>
          <w:sz w:val="24"/>
          <w:szCs w:val="24"/>
        </w:rPr>
        <w:sectPr w:rsidR="0085075F" w:rsidSect="00D43FFA">
          <w:headerReference w:type="default" r:id="rId9"/>
          <w:footerReference w:type="default" r:id="rId10"/>
          <w:pgSz w:w="12240" w:h="15840"/>
          <w:pgMar w:top="1180" w:right="660" w:bottom="280" w:left="660" w:header="720" w:footer="720" w:gutter="0"/>
          <w:cols w:space="720"/>
          <w:titlePg/>
          <w:docGrid w:linePitch="299"/>
        </w:sectPr>
      </w:pPr>
    </w:p>
    <w:p w:rsidR="00397F48" w:rsidRDefault="00397F48" w:rsidP="00397F48">
      <w:r>
        <w:t>While the economy is improving, there is still great demand for Extension programming in the areas of personal financial management, financial literacy, resource management</w:t>
      </w:r>
      <w:r w:rsidR="00EF369A">
        <w:t>,</w:t>
      </w:r>
      <w:r>
        <w:t xml:space="preserve"> and general economic well-being. </w:t>
      </w:r>
    </w:p>
    <w:p w:rsidR="00397F48" w:rsidRDefault="00397F48" w:rsidP="00CD691A">
      <w:pPr>
        <w:rPr>
          <w:b/>
          <w:sz w:val="24"/>
          <w:szCs w:val="24"/>
        </w:rPr>
      </w:pPr>
    </w:p>
    <w:p w:rsidR="00CD691A" w:rsidRPr="001219BF" w:rsidRDefault="00CD691A" w:rsidP="00CD691A">
      <w:pPr>
        <w:rPr>
          <w:b/>
          <w:sz w:val="24"/>
          <w:szCs w:val="24"/>
        </w:rPr>
      </w:pPr>
      <w:r w:rsidRPr="001219BF">
        <w:rPr>
          <w:b/>
          <w:sz w:val="24"/>
          <w:szCs w:val="24"/>
        </w:rPr>
        <w:t>Workforce/Youth Financial Education</w:t>
      </w:r>
    </w:p>
    <w:p w:rsidR="00CD691A" w:rsidRPr="001219BF" w:rsidRDefault="00CD691A" w:rsidP="00CD691A">
      <w:pPr>
        <w:rPr>
          <w:b/>
          <w:sz w:val="24"/>
          <w:szCs w:val="24"/>
        </w:rPr>
      </w:pPr>
    </w:p>
    <w:p w:rsidR="00CD691A" w:rsidRPr="009017A5" w:rsidRDefault="00CD691A" w:rsidP="00CD691A">
      <w:pPr>
        <w:rPr>
          <w:rFonts w:cs="Arial"/>
          <w:szCs w:val="24"/>
        </w:rPr>
      </w:pPr>
      <w:r>
        <w:rPr>
          <w:rFonts w:cs="Arial"/>
          <w:szCs w:val="24"/>
        </w:rPr>
        <w:t>Assisted by</w:t>
      </w:r>
      <w:r w:rsidRPr="009017A5">
        <w:rPr>
          <w:rFonts w:cs="Arial"/>
          <w:szCs w:val="24"/>
        </w:rPr>
        <w:t xml:space="preserve"> local business and non-pr</w:t>
      </w:r>
      <w:r w:rsidR="00EF369A">
        <w:rPr>
          <w:rFonts w:cs="Arial"/>
          <w:szCs w:val="24"/>
        </w:rPr>
        <w:t xml:space="preserve">ofit organization </w:t>
      </w:r>
      <w:r>
        <w:rPr>
          <w:rFonts w:cs="Arial"/>
          <w:szCs w:val="24"/>
        </w:rPr>
        <w:t>volunteers</w:t>
      </w:r>
      <w:r w:rsidRPr="009017A5">
        <w:rPr>
          <w:rFonts w:cs="Arial"/>
          <w:szCs w:val="24"/>
        </w:rPr>
        <w:t xml:space="preserve">, </w:t>
      </w:r>
      <w:r w:rsidRPr="009017A5">
        <w:rPr>
          <w:rFonts w:cs="Arial"/>
          <w:b/>
          <w:szCs w:val="24"/>
        </w:rPr>
        <w:t>Mississippi</w:t>
      </w:r>
      <w:r w:rsidRPr="009017A5">
        <w:rPr>
          <w:rFonts w:cs="Arial"/>
          <w:szCs w:val="24"/>
        </w:rPr>
        <w:t xml:space="preserve"> Extension provided </w:t>
      </w:r>
      <w:r w:rsidRPr="009017A5">
        <w:rPr>
          <w:rFonts w:cs="Arial"/>
          <w:i/>
          <w:szCs w:val="24"/>
        </w:rPr>
        <w:t>Welcome to the</w:t>
      </w:r>
      <w:r w:rsidRPr="009017A5">
        <w:rPr>
          <w:rFonts w:cs="Arial"/>
          <w:szCs w:val="24"/>
        </w:rPr>
        <w:t xml:space="preserve"> </w:t>
      </w:r>
      <w:r w:rsidRPr="009017A5">
        <w:rPr>
          <w:rFonts w:cs="Arial"/>
          <w:i/>
          <w:szCs w:val="24"/>
        </w:rPr>
        <w:t>Real World</w:t>
      </w:r>
      <w:r w:rsidRPr="009017A5">
        <w:rPr>
          <w:rFonts w:cs="Arial"/>
          <w:szCs w:val="24"/>
        </w:rPr>
        <w:t xml:space="preserve">, a budgeting simulation experience to 12,000 middle </w:t>
      </w:r>
      <w:r>
        <w:rPr>
          <w:rFonts w:cs="Arial"/>
          <w:szCs w:val="24"/>
        </w:rPr>
        <w:t xml:space="preserve">and </w:t>
      </w:r>
      <w:r w:rsidRPr="009017A5">
        <w:rPr>
          <w:rFonts w:cs="Arial"/>
          <w:szCs w:val="24"/>
        </w:rPr>
        <w:t>high school</w:t>
      </w:r>
      <w:r>
        <w:rPr>
          <w:rFonts w:cs="Arial"/>
          <w:szCs w:val="24"/>
        </w:rPr>
        <w:t xml:space="preserve"> students</w:t>
      </w:r>
      <w:r w:rsidRPr="009017A5">
        <w:rPr>
          <w:rFonts w:cs="Arial"/>
          <w:szCs w:val="24"/>
        </w:rPr>
        <w:t>, first-generation college students, a</w:t>
      </w:r>
      <w:r>
        <w:rPr>
          <w:rFonts w:cs="Arial"/>
          <w:szCs w:val="24"/>
        </w:rPr>
        <w:t xml:space="preserve">nd </w:t>
      </w:r>
      <w:r w:rsidRPr="009017A5">
        <w:rPr>
          <w:rFonts w:cs="Arial"/>
          <w:szCs w:val="24"/>
        </w:rPr>
        <w:t>Boys and Girls Club</w:t>
      </w:r>
      <w:r w:rsidR="00EF369A">
        <w:rPr>
          <w:rFonts w:cs="Arial"/>
          <w:szCs w:val="24"/>
        </w:rPr>
        <w:t xml:space="preserve"> youth</w:t>
      </w:r>
      <w:r>
        <w:rPr>
          <w:rFonts w:cs="Arial"/>
          <w:szCs w:val="24"/>
        </w:rPr>
        <w:t xml:space="preserve">. </w:t>
      </w:r>
      <w:r w:rsidRPr="009017A5">
        <w:rPr>
          <w:rFonts w:cs="Arial"/>
          <w:szCs w:val="24"/>
        </w:rPr>
        <w:t>Program participants were assigned occupation</w:t>
      </w:r>
      <w:r w:rsidR="00397F48">
        <w:rPr>
          <w:rFonts w:cs="Arial"/>
          <w:szCs w:val="24"/>
        </w:rPr>
        <w:t>s</w:t>
      </w:r>
      <w:r w:rsidRPr="009017A5">
        <w:rPr>
          <w:rFonts w:cs="Arial"/>
          <w:szCs w:val="24"/>
        </w:rPr>
        <w:t>, marital status, ages of children, and salar</w:t>
      </w:r>
      <w:r w:rsidR="00397F48">
        <w:rPr>
          <w:rFonts w:cs="Arial"/>
          <w:szCs w:val="24"/>
        </w:rPr>
        <w:t>ies before visiting</w:t>
      </w:r>
      <w:r w:rsidRPr="009017A5">
        <w:rPr>
          <w:rFonts w:cs="Arial"/>
          <w:szCs w:val="24"/>
        </w:rPr>
        <w:t xml:space="preserve"> 17 stations to make spending choices about housing, </w:t>
      </w:r>
      <w:r>
        <w:rPr>
          <w:rFonts w:cs="Arial"/>
          <w:szCs w:val="24"/>
        </w:rPr>
        <w:t>transportation</w:t>
      </w:r>
      <w:r w:rsidRPr="009017A5">
        <w:rPr>
          <w:rFonts w:cs="Arial"/>
          <w:szCs w:val="24"/>
        </w:rPr>
        <w:t>, childcare, telephone</w:t>
      </w:r>
      <w:r w:rsidR="007A6352">
        <w:rPr>
          <w:rFonts w:cs="Arial"/>
          <w:szCs w:val="24"/>
        </w:rPr>
        <w:t>,</w:t>
      </w:r>
      <w:r w:rsidRPr="009017A5">
        <w:rPr>
          <w:rFonts w:cs="Arial"/>
          <w:szCs w:val="24"/>
        </w:rPr>
        <w:t xml:space="preserve"> and other regular expenses.</w:t>
      </w:r>
      <w:r w:rsidRPr="009017A5">
        <w:rPr>
          <w:szCs w:val="24"/>
        </w:rPr>
        <w:t xml:space="preserve">  </w:t>
      </w:r>
      <w:r w:rsidR="0093519F">
        <w:rPr>
          <w:szCs w:val="24"/>
        </w:rPr>
        <w:t xml:space="preserve">Based upon evaluation data, </w:t>
      </w:r>
      <w:r w:rsidRPr="009017A5">
        <w:rPr>
          <w:rFonts w:cs="Arial"/>
          <w:szCs w:val="24"/>
        </w:rPr>
        <w:t>the activity encourage</w:t>
      </w:r>
      <w:r w:rsidR="00EF369A">
        <w:rPr>
          <w:rFonts w:cs="Arial"/>
          <w:szCs w:val="24"/>
        </w:rPr>
        <w:t>d</w:t>
      </w:r>
      <w:r w:rsidRPr="009017A5">
        <w:rPr>
          <w:rFonts w:cs="Arial"/>
          <w:szCs w:val="24"/>
        </w:rPr>
        <w:t xml:space="preserve"> students to continue their education to increase potential future earnings, postpone having children, and focus on spending money </w:t>
      </w:r>
      <w:r>
        <w:rPr>
          <w:rFonts w:cs="Arial"/>
          <w:szCs w:val="24"/>
        </w:rPr>
        <w:t>wisely</w:t>
      </w:r>
      <w:r w:rsidRPr="009017A5">
        <w:rPr>
          <w:rFonts w:cs="Arial"/>
          <w:szCs w:val="24"/>
        </w:rPr>
        <w:t xml:space="preserve">. </w:t>
      </w:r>
    </w:p>
    <w:p w:rsidR="00CD691A" w:rsidRPr="00CD691A" w:rsidRDefault="00CD691A" w:rsidP="00CD691A">
      <w:pPr>
        <w:pStyle w:val="NormalWeb"/>
        <w:spacing w:after="240" w:afterAutospacing="0"/>
        <w:rPr>
          <w:rFonts w:asciiTheme="minorHAnsi" w:hAnsiTheme="minorHAnsi" w:cs="Arial"/>
          <w:sz w:val="20"/>
        </w:rPr>
      </w:pPr>
      <w:r w:rsidRPr="00CD691A">
        <w:rPr>
          <w:rFonts w:asciiTheme="minorHAnsi" w:hAnsiTheme="minorHAnsi" w:cs="Arial"/>
          <w:b/>
          <w:sz w:val="22"/>
        </w:rPr>
        <w:t xml:space="preserve">South Dakota </w:t>
      </w:r>
      <w:r>
        <w:rPr>
          <w:rFonts w:asciiTheme="minorHAnsi" w:hAnsiTheme="minorHAnsi" w:cs="Arial"/>
          <w:b/>
          <w:sz w:val="22"/>
        </w:rPr>
        <w:t>E</w:t>
      </w:r>
      <w:r w:rsidRPr="00CD691A">
        <w:rPr>
          <w:rFonts w:asciiTheme="minorHAnsi" w:hAnsiTheme="minorHAnsi" w:cs="Arial"/>
          <w:sz w:val="22"/>
        </w:rPr>
        <w:t>xtension</w:t>
      </w:r>
      <w:r w:rsidRPr="00CD691A">
        <w:rPr>
          <w:rFonts w:asciiTheme="minorHAnsi" w:hAnsiTheme="minorHAnsi" w:cs="Arial"/>
          <w:b/>
          <w:sz w:val="22"/>
        </w:rPr>
        <w:t xml:space="preserve"> </w:t>
      </w:r>
      <w:r w:rsidRPr="00CD691A">
        <w:rPr>
          <w:rFonts w:asciiTheme="minorHAnsi" w:hAnsiTheme="minorHAnsi" w:cs="Arial"/>
          <w:sz w:val="22"/>
        </w:rPr>
        <w:t>assist</w:t>
      </w:r>
      <w:r>
        <w:rPr>
          <w:rFonts w:asciiTheme="minorHAnsi" w:hAnsiTheme="minorHAnsi" w:cs="Arial"/>
          <w:sz w:val="22"/>
        </w:rPr>
        <w:t>ed</w:t>
      </w:r>
      <w:r w:rsidRPr="00CD691A">
        <w:rPr>
          <w:rFonts w:asciiTheme="minorHAnsi" w:hAnsiTheme="minorHAnsi" w:cs="Arial"/>
          <w:sz w:val="22"/>
        </w:rPr>
        <w:t xml:space="preserve"> 38 high school teachers in us</w:t>
      </w:r>
      <w:r w:rsidR="00EF369A">
        <w:rPr>
          <w:rFonts w:asciiTheme="minorHAnsi" w:hAnsiTheme="minorHAnsi" w:cs="Arial"/>
          <w:sz w:val="22"/>
        </w:rPr>
        <w:t>ing</w:t>
      </w:r>
      <w:r w:rsidRPr="00CD691A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a</w:t>
      </w:r>
      <w:r w:rsidRPr="00CD691A">
        <w:rPr>
          <w:rFonts w:asciiTheme="minorHAnsi" w:hAnsiTheme="minorHAnsi" w:cs="Arial"/>
          <w:sz w:val="22"/>
        </w:rPr>
        <w:t xml:space="preserve"> money management curriculum </w:t>
      </w:r>
      <w:r w:rsidR="0093519F">
        <w:rPr>
          <w:rFonts w:asciiTheme="minorHAnsi" w:hAnsiTheme="minorHAnsi" w:cs="Arial"/>
          <w:sz w:val="22"/>
        </w:rPr>
        <w:t xml:space="preserve">and the SD Saves Campaign partnered with local media to reach </w:t>
      </w:r>
      <w:r w:rsidRPr="00CD691A">
        <w:rPr>
          <w:rFonts w:asciiTheme="minorHAnsi" w:hAnsiTheme="minorHAnsi" w:cs="Arial"/>
          <w:sz w:val="22"/>
        </w:rPr>
        <w:t xml:space="preserve">21,000 college students.  </w:t>
      </w:r>
      <w:r w:rsidRPr="00CD691A">
        <w:rPr>
          <w:rFonts w:asciiTheme="minorHAnsi" w:eastAsia="Times New Roman" w:hAnsiTheme="minorHAnsi" w:cs="Arial"/>
          <w:b/>
          <w:sz w:val="22"/>
        </w:rPr>
        <w:t>Alabama</w:t>
      </w:r>
      <w:r w:rsidRPr="00CD691A">
        <w:rPr>
          <w:rFonts w:asciiTheme="minorHAnsi" w:eastAsia="Times New Roman" w:hAnsiTheme="minorHAnsi" w:cs="Arial"/>
        </w:rPr>
        <w:t xml:space="preserve"> </w:t>
      </w:r>
      <w:r w:rsidRPr="00CD691A">
        <w:rPr>
          <w:rFonts w:asciiTheme="minorHAnsi" w:eastAsia="Times New Roman" w:hAnsiTheme="minorHAnsi" w:cs="Arial"/>
          <w:sz w:val="22"/>
        </w:rPr>
        <w:t>FCS educators reached 8</w:t>
      </w:r>
      <w:r>
        <w:rPr>
          <w:rFonts w:asciiTheme="minorHAnsi" w:eastAsia="Times New Roman" w:hAnsiTheme="minorHAnsi" w:cs="Arial"/>
          <w:sz w:val="22"/>
        </w:rPr>
        <w:t>,</w:t>
      </w:r>
      <w:r w:rsidRPr="00CD691A">
        <w:rPr>
          <w:rFonts w:asciiTheme="minorHAnsi" w:eastAsia="Times New Roman" w:hAnsiTheme="minorHAnsi" w:cs="Arial"/>
          <w:sz w:val="22"/>
        </w:rPr>
        <w:t xml:space="preserve">205 youth through Reality Check </w:t>
      </w:r>
      <w:r>
        <w:rPr>
          <w:rFonts w:asciiTheme="minorHAnsi" w:eastAsia="Times New Roman" w:hAnsiTheme="minorHAnsi" w:cs="Arial"/>
          <w:sz w:val="22"/>
        </w:rPr>
        <w:t>s</w:t>
      </w:r>
      <w:r w:rsidRPr="00CD691A">
        <w:rPr>
          <w:rFonts w:asciiTheme="minorHAnsi" w:eastAsia="Times New Roman" w:hAnsiTheme="minorHAnsi" w:cs="Arial"/>
          <w:sz w:val="22"/>
        </w:rPr>
        <w:t xml:space="preserve">essions and </w:t>
      </w:r>
      <w:r w:rsidRPr="00CD691A">
        <w:rPr>
          <w:rFonts w:asciiTheme="minorHAnsi" w:eastAsia="Times New Roman" w:hAnsiTheme="minorHAnsi" w:cs="Arial"/>
          <w:i/>
          <w:sz w:val="22"/>
        </w:rPr>
        <w:t>Alabama Saves</w:t>
      </w:r>
      <w:r w:rsidRPr="00CD691A">
        <w:rPr>
          <w:rFonts w:asciiTheme="minorHAnsi" w:eastAsia="Times New Roman" w:hAnsiTheme="minorHAnsi" w:cs="Arial"/>
          <w:sz w:val="22"/>
        </w:rPr>
        <w:t xml:space="preserve"> programs. </w:t>
      </w:r>
      <w:r w:rsidRPr="00CD691A">
        <w:rPr>
          <w:rFonts w:asciiTheme="minorHAnsi" w:hAnsiTheme="minorHAnsi" w:cs="Arial"/>
          <w:sz w:val="22"/>
        </w:rPr>
        <w:t xml:space="preserve"> </w:t>
      </w:r>
    </w:p>
    <w:p w:rsidR="00CD691A" w:rsidRPr="001219BF" w:rsidRDefault="00CD691A" w:rsidP="00CD691A">
      <w:pPr>
        <w:rPr>
          <w:b/>
          <w:sz w:val="24"/>
          <w:szCs w:val="24"/>
        </w:rPr>
      </w:pPr>
      <w:r w:rsidRPr="001219BF">
        <w:rPr>
          <w:b/>
          <w:sz w:val="24"/>
          <w:szCs w:val="24"/>
        </w:rPr>
        <w:t>Estate Planning</w:t>
      </w:r>
    </w:p>
    <w:tbl>
      <w:tblPr>
        <w:tblpPr w:leftFromText="180" w:rightFromText="180" w:vertAnchor="text" w:horzAnchor="margin" w:tblpY="2522"/>
        <w:tblW w:w="10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6"/>
        <w:gridCol w:w="3075"/>
        <w:gridCol w:w="3980"/>
      </w:tblGrid>
      <w:tr w:rsidR="00F557DF" w:rsidTr="00F557DF">
        <w:trPr>
          <w:trHeight w:hRule="exact" w:val="434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F557DF" w:rsidRDefault="00F557DF" w:rsidP="00F557DF">
            <w:pPr>
              <w:pStyle w:val="TableParagraph"/>
              <w:spacing w:before="145"/>
              <w:ind w:left="12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NEAFCS</w:t>
            </w:r>
            <w:r>
              <w:rPr>
                <w:rFonts w:ascii="Arial Narrow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National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Office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F557DF" w:rsidRDefault="00F557DF" w:rsidP="00F557DF">
            <w:pPr>
              <w:pStyle w:val="TableParagraph"/>
              <w:spacing w:before="145"/>
              <w:ind w:left="36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20423</w:t>
            </w:r>
            <w:r>
              <w:rPr>
                <w:rFonts w:ascii="Arial Narrow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State</w:t>
            </w:r>
            <w:r>
              <w:rPr>
                <w:rFonts w:ascii="Arial Narrow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Road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7,</w:t>
            </w:r>
            <w:r>
              <w:rPr>
                <w:rFonts w:ascii="Arial Narrow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pacing w:val="-1"/>
                <w:sz w:val="20"/>
              </w:rPr>
              <w:t>Suite</w:t>
            </w:r>
            <w:r>
              <w:rPr>
                <w:rFonts w:ascii="Arial Narrow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F6-491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F557DF" w:rsidRDefault="00F557DF" w:rsidP="00F557DF">
            <w:pPr>
              <w:pStyle w:val="TableParagraph"/>
              <w:spacing w:before="145"/>
              <w:ind w:left="1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pacing w:val="-1"/>
                <w:sz w:val="20"/>
              </w:rPr>
              <w:t>Boca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Raton,</w:t>
            </w:r>
            <w:r>
              <w:rPr>
                <w:rFonts w:ascii="Arial Narrow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FL</w:t>
            </w:r>
            <w:r>
              <w:rPr>
                <w:rFonts w:ascii="Arial Narrow"/>
                <w:b/>
                <w:color w:val="FFFFFF"/>
                <w:spacing w:val="37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33498</w:t>
            </w:r>
          </w:p>
        </w:tc>
      </w:tr>
      <w:tr w:rsidR="00F557DF" w:rsidTr="00F557DF">
        <w:trPr>
          <w:trHeight w:hRule="exact" w:val="416"/>
        </w:trPr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F557DF" w:rsidRDefault="00F557DF" w:rsidP="00F557DF">
            <w:pPr>
              <w:pStyle w:val="TableParagraph"/>
              <w:spacing w:before="26"/>
              <w:ind w:left="226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(561)</w:t>
            </w:r>
            <w:r>
              <w:rPr>
                <w:rFonts w:ascii="Arial Narrow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477-8100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F557DF" w:rsidRDefault="00F557DF" w:rsidP="00F557DF">
            <w:pPr>
              <w:pStyle w:val="TableParagraph"/>
              <w:spacing w:before="26"/>
              <w:ind w:left="67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FAX</w:t>
            </w:r>
            <w:r>
              <w:rPr>
                <w:rFonts w:ascii="Arial Narrow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(561)</w:t>
            </w:r>
            <w:r>
              <w:rPr>
                <w:rFonts w:ascii="Arial Narrow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910-0896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2756A2"/>
          </w:tcPr>
          <w:p w:rsidR="00F557DF" w:rsidRDefault="00136B81" w:rsidP="00F557DF">
            <w:pPr>
              <w:pStyle w:val="TableParagraph"/>
              <w:spacing w:before="26"/>
              <w:ind w:left="481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11">
              <w:r w:rsidR="00F557DF">
                <w:rPr>
                  <w:rFonts w:ascii="Arial Narrow"/>
                  <w:b/>
                  <w:color w:val="FFFFFF"/>
                  <w:spacing w:val="-1"/>
                  <w:sz w:val="20"/>
                </w:rPr>
                <w:t>www.neafcs.org</w:t>
              </w:r>
            </w:hyperlink>
          </w:p>
        </w:tc>
      </w:tr>
    </w:tbl>
    <w:p w:rsidR="00397F48" w:rsidRDefault="00FD6913" w:rsidP="00CD691A">
      <w:pPr>
        <w:rPr>
          <w:rFonts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524A8DFE" wp14:editId="113627D6">
            <wp:simplePos x="0" y="0"/>
            <wp:positionH relativeFrom="column">
              <wp:posOffset>1704975</wp:posOffset>
            </wp:positionH>
            <wp:positionV relativeFrom="paragraph">
              <wp:posOffset>1166495</wp:posOffset>
            </wp:positionV>
            <wp:extent cx="5143500" cy="438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91A" w:rsidRPr="001219BF">
        <w:rPr>
          <w:sz w:val="24"/>
          <w:szCs w:val="24"/>
        </w:rPr>
        <w:br/>
      </w:r>
      <w:r w:rsidR="00CD691A" w:rsidRPr="009017A5">
        <w:rPr>
          <w:rFonts w:cs="Arial"/>
          <w:b/>
          <w:szCs w:val="24"/>
        </w:rPr>
        <w:t>Missouri</w:t>
      </w:r>
      <w:r w:rsidR="00CD691A" w:rsidRPr="009017A5">
        <w:rPr>
          <w:rFonts w:cs="Arial"/>
          <w:szCs w:val="24"/>
        </w:rPr>
        <w:t xml:space="preserve"> provided 45 electric company employees and spouses with estate planning</w:t>
      </w:r>
      <w:r w:rsidR="00CD691A">
        <w:rPr>
          <w:rFonts w:cs="Arial"/>
          <w:szCs w:val="24"/>
        </w:rPr>
        <w:t xml:space="preserve"> t</w:t>
      </w:r>
      <w:r w:rsidR="00CD691A" w:rsidRPr="009017A5">
        <w:rPr>
          <w:rFonts w:cs="Arial"/>
          <w:szCs w:val="24"/>
        </w:rPr>
        <w:t xml:space="preserve">ips for transferring </w:t>
      </w:r>
      <w:r w:rsidR="00CD691A">
        <w:rPr>
          <w:rFonts w:cs="Arial"/>
          <w:szCs w:val="24"/>
        </w:rPr>
        <w:t xml:space="preserve">titled and untitled </w:t>
      </w:r>
      <w:r w:rsidR="00CD691A" w:rsidRPr="009017A5">
        <w:rPr>
          <w:rFonts w:cs="Arial"/>
          <w:szCs w:val="24"/>
        </w:rPr>
        <w:t>property</w:t>
      </w:r>
      <w:r w:rsidR="00CD691A">
        <w:rPr>
          <w:rFonts w:cs="Arial"/>
          <w:szCs w:val="24"/>
        </w:rPr>
        <w:t>,</w:t>
      </w:r>
      <w:r w:rsidR="00CD691A" w:rsidRPr="009017A5">
        <w:rPr>
          <w:rFonts w:cs="Arial"/>
          <w:szCs w:val="24"/>
        </w:rPr>
        <w:t xml:space="preserve"> strategies for reducing conflict, health care directives</w:t>
      </w:r>
      <w:r w:rsidR="00EF369A">
        <w:rPr>
          <w:rFonts w:cs="Arial"/>
          <w:szCs w:val="24"/>
        </w:rPr>
        <w:t>,</w:t>
      </w:r>
      <w:r w:rsidR="00CD691A" w:rsidRPr="009017A5">
        <w:rPr>
          <w:rFonts w:cs="Arial"/>
          <w:szCs w:val="24"/>
        </w:rPr>
        <w:t xml:space="preserve"> and durable power of attorney for health care. </w:t>
      </w:r>
      <w:r w:rsidR="00CD691A">
        <w:rPr>
          <w:rFonts w:cs="Arial"/>
          <w:szCs w:val="24"/>
        </w:rPr>
        <w:t xml:space="preserve">In </w:t>
      </w:r>
      <w:r w:rsidR="00CD691A" w:rsidRPr="009017A5">
        <w:rPr>
          <w:rFonts w:cs="Arial"/>
          <w:b/>
          <w:szCs w:val="24"/>
        </w:rPr>
        <w:t>Georgia</w:t>
      </w:r>
      <w:r w:rsidR="00EF369A">
        <w:rPr>
          <w:rFonts w:cs="Arial"/>
          <w:b/>
          <w:szCs w:val="24"/>
        </w:rPr>
        <w:t xml:space="preserve">, </w:t>
      </w:r>
      <w:r w:rsidR="00CD691A" w:rsidRPr="009017A5">
        <w:rPr>
          <w:rFonts w:cs="Arial"/>
          <w:szCs w:val="24"/>
        </w:rPr>
        <w:t xml:space="preserve">500 citizens increased </w:t>
      </w:r>
      <w:r w:rsidR="00CD691A">
        <w:rPr>
          <w:rFonts w:cs="Arial"/>
          <w:szCs w:val="24"/>
        </w:rPr>
        <w:t xml:space="preserve">their </w:t>
      </w:r>
      <w:r w:rsidR="0093519F">
        <w:rPr>
          <w:rFonts w:cs="Arial"/>
          <w:szCs w:val="24"/>
        </w:rPr>
        <w:tab/>
      </w:r>
      <w:r w:rsidR="0093519F">
        <w:rPr>
          <w:rFonts w:cs="Arial"/>
          <w:szCs w:val="24"/>
        </w:rPr>
        <w:tab/>
      </w:r>
      <w:r w:rsidR="0093519F">
        <w:rPr>
          <w:rFonts w:cs="Arial"/>
          <w:szCs w:val="24"/>
        </w:rPr>
        <w:tab/>
      </w:r>
      <w:r w:rsidR="0093519F">
        <w:rPr>
          <w:rFonts w:cs="Arial"/>
          <w:szCs w:val="24"/>
        </w:rPr>
        <w:tab/>
      </w:r>
      <w:r w:rsidR="0093519F">
        <w:rPr>
          <w:rFonts w:cs="Arial"/>
          <w:szCs w:val="24"/>
        </w:rPr>
        <w:tab/>
      </w:r>
      <w:r w:rsidR="0093519F">
        <w:rPr>
          <w:rFonts w:cs="Arial"/>
          <w:szCs w:val="24"/>
        </w:rPr>
        <w:tab/>
      </w:r>
      <w:r w:rsidR="0093519F">
        <w:rPr>
          <w:rFonts w:cs="Arial"/>
          <w:szCs w:val="24"/>
        </w:rPr>
        <w:tab/>
      </w:r>
      <w:r w:rsidR="0093519F">
        <w:rPr>
          <w:rFonts w:cs="Arial"/>
          <w:szCs w:val="24"/>
        </w:rPr>
        <w:tab/>
      </w:r>
      <w:r w:rsidR="0093519F">
        <w:rPr>
          <w:rFonts w:cs="Arial"/>
          <w:szCs w:val="24"/>
        </w:rPr>
        <w:tab/>
      </w:r>
      <w:r w:rsidR="0093519F">
        <w:rPr>
          <w:rFonts w:cs="Arial"/>
          <w:szCs w:val="24"/>
        </w:rPr>
        <w:tab/>
        <w:t xml:space="preserve"> </w:t>
      </w:r>
      <w:r w:rsidR="00B40505">
        <w:rPr>
          <w:rFonts w:cs="Arial"/>
          <w:szCs w:val="24"/>
        </w:rPr>
        <w:t xml:space="preserve">estate </w:t>
      </w:r>
      <w:r w:rsidR="00CD691A" w:rsidRPr="009017A5">
        <w:rPr>
          <w:rFonts w:cs="Arial"/>
          <w:szCs w:val="24"/>
        </w:rPr>
        <w:t xml:space="preserve">planning knowledge </w:t>
      </w:r>
      <w:r w:rsidR="0093519F">
        <w:rPr>
          <w:rFonts w:cs="Arial"/>
          <w:szCs w:val="24"/>
        </w:rPr>
        <w:t xml:space="preserve">and </w:t>
      </w:r>
      <w:r w:rsidR="00CD691A" w:rsidRPr="009017A5">
        <w:rPr>
          <w:rFonts w:cs="Arial"/>
          <w:szCs w:val="24"/>
        </w:rPr>
        <w:t>strategies</w:t>
      </w:r>
      <w:r w:rsidR="0093519F">
        <w:rPr>
          <w:rFonts w:cs="Arial"/>
          <w:szCs w:val="24"/>
        </w:rPr>
        <w:t>, while</w:t>
      </w:r>
      <w:r w:rsidR="00D4149C">
        <w:rPr>
          <w:rFonts w:cs="Arial"/>
          <w:szCs w:val="24"/>
        </w:rPr>
        <w:t xml:space="preserve"> in </w:t>
      </w:r>
      <w:r w:rsidR="0093519F" w:rsidRPr="0093519F">
        <w:rPr>
          <w:rFonts w:cs="Arial"/>
          <w:b/>
          <w:szCs w:val="24"/>
        </w:rPr>
        <w:t>Iowa</w:t>
      </w:r>
      <w:r w:rsidR="00B40505">
        <w:rPr>
          <w:rFonts w:cs="Arial"/>
          <w:b/>
          <w:szCs w:val="24"/>
        </w:rPr>
        <w:t>,</w:t>
      </w:r>
      <w:r w:rsidR="0093519F">
        <w:rPr>
          <w:rFonts w:cs="Arial"/>
          <w:szCs w:val="24"/>
        </w:rPr>
        <w:t xml:space="preserve"> </w:t>
      </w:r>
      <w:r w:rsidR="00D4149C">
        <w:rPr>
          <w:rFonts w:cs="Arial"/>
          <w:szCs w:val="24"/>
        </w:rPr>
        <w:t>4</w:t>
      </w:r>
      <w:r w:rsidR="0093519F">
        <w:rPr>
          <w:rFonts w:cs="Arial"/>
          <w:szCs w:val="24"/>
        </w:rPr>
        <w:t>00</w:t>
      </w:r>
      <w:r w:rsidR="00B40505">
        <w:rPr>
          <w:rFonts w:cs="Arial"/>
          <w:szCs w:val="24"/>
        </w:rPr>
        <w:t xml:space="preserve"> </w:t>
      </w:r>
      <w:r w:rsidR="00D4149C">
        <w:rPr>
          <w:rFonts w:cs="Arial"/>
          <w:szCs w:val="24"/>
        </w:rPr>
        <w:t xml:space="preserve">citizens attended </w:t>
      </w:r>
      <w:r w:rsidR="0093519F">
        <w:rPr>
          <w:rFonts w:cs="Arial"/>
          <w:szCs w:val="24"/>
        </w:rPr>
        <w:t>investment</w:t>
      </w:r>
      <w:r w:rsidR="00397F48">
        <w:rPr>
          <w:rFonts w:cs="Arial"/>
          <w:b/>
          <w:szCs w:val="24"/>
        </w:rPr>
        <w:t xml:space="preserve"> </w:t>
      </w:r>
      <w:r w:rsidR="00D4149C" w:rsidRPr="00D4149C">
        <w:rPr>
          <w:rFonts w:cs="Arial"/>
          <w:szCs w:val="24"/>
        </w:rPr>
        <w:t>education workshops</w:t>
      </w:r>
      <w:r w:rsidR="00D4149C">
        <w:rPr>
          <w:rFonts w:cs="Arial"/>
          <w:b/>
          <w:szCs w:val="24"/>
        </w:rPr>
        <w:t xml:space="preserve"> </w:t>
      </w:r>
      <w:r w:rsidR="00397F48">
        <w:rPr>
          <w:rFonts w:cs="Arial"/>
          <w:b/>
          <w:szCs w:val="24"/>
        </w:rPr>
        <w:t xml:space="preserve">        </w:t>
      </w:r>
    </w:p>
    <w:p w:rsidR="00CD691A" w:rsidRPr="009017A5" w:rsidRDefault="00CD691A" w:rsidP="00CD691A">
      <w:pPr>
        <w:rPr>
          <w:rFonts w:cs="Arial"/>
          <w:szCs w:val="24"/>
        </w:rPr>
      </w:pPr>
      <w:r w:rsidRPr="009017A5">
        <w:rPr>
          <w:rFonts w:cs="Arial"/>
          <w:szCs w:val="24"/>
        </w:rPr>
        <w:t xml:space="preserve">resulting in 72% of participants </w:t>
      </w:r>
      <w:r w:rsidR="00D4149C">
        <w:rPr>
          <w:rFonts w:cs="Arial"/>
          <w:szCs w:val="24"/>
        </w:rPr>
        <w:t xml:space="preserve">indicating they would make </w:t>
      </w:r>
      <w:r w:rsidRPr="009017A5">
        <w:rPr>
          <w:rFonts w:cs="Arial"/>
          <w:szCs w:val="24"/>
        </w:rPr>
        <w:t xml:space="preserve">retirement plans.  </w:t>
      </w:r>
    </w:p>
    <w:p w:rsidR="00397F48" w:rsidRDefault="00397F48" w:rsidP="00CD691A">
      <w:pPr>
        <w:rPr>
          <w:b/>
          <w:sz w:val="24"/>
          <w:szCs w:val="24"/>
        </w:rPr>
      </w:pPr>
    </w:p>
    <w:p w:rsidR="00CD691A" w:rsidRPr="001219BF" w:rsidRDefault="00CD691A" w:rsidP="00CD691A">
      <w:pPr>
        <w:rPr>
          <w:b/>
          <w:sz w:val="24"/>
          <w:szCs w:val="24"/>
        </w:rPr>
      </w:pPr>
      <w:r w:rsidRPr="001219BF">
        <w:rPr>
          <w:b/>
          <w:sz w:val="24"/>
          <w:szCs w:val="24"/>
        </w:rPr>
        <w:t>Basic Money Management</w:t>
      </w:r>
    </w:p>
    <w:p w:rsidR="00CD691A" w:rsidRPr="001219BF" w:rsidRDefault="00CD691A" w:rsidP="00CD691A">
      <w:pPr>
        <w:rPr>
          <w:rFonts w:cs="Arial"/>
          <w:sz w:val="24"/>
          <w:szCs w:val="24"/>
        </w:rPr>
      </w:pPr>
    </w:p>
    <w:p w:rsidR="00CD691A" w:rsidRDefault="00CD691A" w:rsidP="00CD691A">
      <w:pPr>
        <w:rPr>
          <w:rFonts w:cs="Arial"/>
        </w:rPr>
      </w:pPr>
      <w:r w:rsidRPr="009017A5">
        <w:rPr>
          <w:rFonts w:cs="Arial"/>
          <w:b/>
          <w:szCs w:val="24"/>
        </w:rPr>
        <w:t>Colorado’s</w:t>
      </w:r>
      <w:r w:rsidRPr="009017A5">
        <w:rPr>
          <w:rFonts w:cs="Arial"/>
          <w:szCs w:val="24"/>
        </w:rPr>
        <w:t xml:space="preserve"> </w:t>
      </w:r>
      <w:r w:rsidRPr="00CD691A">
        <w:rPr>
          <w:rFonts w:cs="Arial"/>
          <w:i/>
          <w:szCs w:val="24"/>
        </w:rPr>
        <w:t>Small Steps to Health and Wealth</w:t>
      </w:r>
      <w:r w:rsidRPr="009017A5">
        <w:rPr>
          <w:rFonts w:cs="Arial"/>
          <w:szCs w:val="24"/>
        </w:rPr>
        <w:t xml:space="preserve"> program reached 431 with positive results: </w:t>
      </w:r>
      <w:r>
        <w:rPr>
          <w:rFonts w:cs="Arial"/>
          <w:szCs w:val="24"/>
        </w:rPr>
        <w:t xml:space="preserve">nearly 47% reported improved spending habits. </w:t>
      </w:r>
      <w:r w:rsidRPr="009017A5">
        <w:rPr>
          <w:rFonts w:cs="Arial"/>
        </w:rPr>
        <w:t xml:space="preserve">Through "Managing </w:t>
      </w:r>
      <w:r>
        <w:rPr>
          <w:rFonts w:cs="Arial"/>
        </w:rPr>
        <w:t>i</w:t>
      </w:r>
      <w:r w:rsidRPr="009017A5">
        <w:rPr>
          <w:rFonts w:cs="Arial"/>
        </w:rPr>
        <w:t>n Tough Times</w:t>
      </w:r>
      <w:r w:rsidR="007A6352">
        <w:rPr>
          <w:rFonts w:cs="Arial"/>
        </w:rPr>
        <w:t>,</w:t>
      </w:r>
      <w:r w:rsidRPr="009017A5">
        <w:rPr>
          <w:rFonts w:cs="Arial"/>
        </w:rPr>
        <w:t xml:space="preserve">" 10,161 </w:t>
      </w:r>
      <w:r w:rsidRPr="009017A5">
        <w:rPr>
          <w:rFonts w:cs="Arial"/>
          <w:b/>
        </w:rPr>
        <w:t>Kentucky</w:t>
      </w:r>
      <w:r w:rsidRPr="009017A5">
        <w:rPr>
          <w:rFonts w:cs="Arial"/>
        </w:rPr>
        <w:t xml:space="preserve"> families set at least one specific savings or wealth-related goal.</w:t>
      </w:r>
      <w:r>
        <w:rPr>
          <w:rFonts w:cs="Arial"/>
        </w:rPr>
        <w:t xml:space="preserve"> </w:t>
      </w:r>
      <w:r w:rsidRPr="009017A5">
        <w:rPr>
          <w:rFonts w:cs="Arial"/>
          <w:b/>
        </w:rPr>
        <w:t>Maine’s</w:t>
      </w:r>
      <w:r w:rsidRPr="009017A5">
        <w:rPr>
          <w:rFonts w:cs="Arial"/>
        </w:rPr>
        <w:t xml:space="preserve"> </w:t>
      </w:r>
      <w:r w:rsidRPr="00CD691A">
        <w:rPr>
          <w:rFonts w:cs="Arial"/>
          <w:i/>
        </w:rPr>
        <w:t>Money Sense</w:t>
      </w:r>
      <w:r w:rsidRPr="009017A5">
        <w:rPr>
          <w:rFonts w:cs="Arial"/>
        </w:rPr>
        <w:t xml:space="preserve"> bi-monthly newsletter is for individuals and families wanting </w:t>
      </w:r>
      <w:r w:rsidR="003E3A1C">
        <w:rPr>
          <w:rFonts w:cs="Arial"/>
        </w:rPr>
        <w:t xml:space="preserve">to save more and spend less; it </w:t>
      </w:r>
      <w:r w:rsidRPr="009017A5">
        <w:rPr>
          <w:rFonts w:cs="Arial"/>
        </w:rPr>
        <w:t xml:space="preserve">reaches over 450 individuals.  Post survey data indicated that 85% of </w:t>
      </w:r>
      <w:r w:rsidRPr="009017A5">
        <w:rPr>
          <w:rFonts w:cs="Arial"/>
          <w:b/>
        </w:rPr>
        <w:t xml:space="preserve">Maryland </w:t>
      </w:r>
      <w:r w:rsidRPr="003E3A1C">
        <w:rPr>
          <w:rFonts w:cs="Arial"/>
        </w:rPr>
        <w:t>E</w:t>
      </w:r>
      <w:r w:rsidRPr="009017A5">
        <w:rPr>
          <w:rFonts w:cs="Arial"/>
        </w:rPr>
        <w:t>xtension</w:t>
      </w:r>
      <w:r w:rsidR="003E3A1C">
        <w:rPr>
          <w:rFonts w:cs="Arial"/>
        </w:rPr>
        <w:t xml:space="preserve"> personal financial management </w:t>
      </w:r>
      <w:r w:rsidRPr="009017A5">
        <w:rPr>
          <w:rFonts w:cs="Arial"/>
        </w:rPr>
        <w:t xml:space="preserve">program responders had set financial goals, </w:t>
      </w:r>
      <w:r w:rsidR="00EF369A">
        <w:rPr>
          <w:rFonts w:cs="Arial"/>
        </w:rPr>
        <w:t xml:space="preserve">started </w:t>
      </w:r>
      <w:r w:rsidRPr="009017A5">
        <w:rPr>
          <w:rFonts w:cs="Arial"/>
        </w:rPr>
        <w:t>savings</w:t>
      </w:r>
      <w:r w:rsidR="00EF369A">
        <w:rPr>
          <w:rFonts w:cs="Arial"/>
        </w:rPr>
        <w:t xml:space="preserve"> plans</w:t>
      </w:r>
      <w:r>
        <w:rPr>
          <w:rFonts w:cs="Arial"/>
        </w:rPr>
        <w:t>,</w:t>
      </w:r>
      <w:r w:rsidRPr="009017A5">
        <w:rPr>
          <w:rFonts w:cs="Arial"/>
        </w:rPr>
        <w:t xml:space="preserve"> and increased payment on credit cards.  </w:t>
      </w:r>
    </w:p>
    <w:p w:rsidR="00CD691A" w:rsidRDefault="0093519F" w:rsidP="00CD691A">
      <w:pPr>
        <w:rPr>
          <w:rFonts w:cs="Arial"/>
        </w:rPr>
      </w:pPr>
      <w:r w:rsidRPr="00140D9B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47B05" wp14:editId="2A003E9E">
                <wp:simplePos x="0" y="0"/>
                <wp:positionH relativeFrom="column">
                  <wp:posOffset>-85725</wp:posOffset>
                </wp:positionH>
                <wp:positionV relativeFrom="paragraph">
                  <wp:posOffset>32385</wp:posOffset>
                </wp:positionV>
                <wp:extent cx="3352800" cy="1304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19F" w:rsidRPr="00140D9B" w:rsidRDefault="0093519F" w:rsidP="00140D9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/>
                                <w:color w:val="17365D" w:themeColor="text2" w:themeShade="BF"/>
                              </w:rPr>
                            </w:pPr>
                            <w:r w:rsidRPr="00140D9B">
                              <w:rPr>
                                <w:rFonts w:asciiTheme="minorHAnsi" w:hAnsiTheme="minorHAnsi" w:cs="Arial"/>
                                <w:b/>
                                <w:color w:val="17365D" w:themeColor="text2" w:themeShade="BF"/>
                              </w:rPr>
                              <w:t>“I was ready to file for bankruptcy due to my medical expenses. Thanks to your guidance, I now understand my options when selecting Medicare Part D plans. I can't believe that I will pay less for coverage and my costs for drugs will decrease.”  -- Kansas Senior Citizen</w:t>
                            </w:r>
                          </w:p>
                          <w:p w:rsidR="0093519F" w:rsidRDefault="009351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75pt;margin-top:2.55pt;width:264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" filled="f" stroked="f">
                <v:textbox>
                  <w:txbxContent>
                    <w:p w:rsidR="0093519F" w:rsidRPr="00140D9B" w:rsidRDefault="0093519F" w:rsidP="00140D9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Arial"/>
                          <w:b/>
                          <w:color w:val="17365D" w:themeColor="text2" w:themeShade="BF"/>
                        </w:rPr>
                      </w:pPr>
                      <w:r w:rsidRPr="00140D9B">
                        <w:rPr>
                          <w:rFonts w:asciiTheme="minorHAnsi" w:hAnsiTheme="minorHAnsi" w:cs="Arial"/>
                          <w:b/>
                          <w:color w:val="17365D" w:themeColor="text2" w:themeShade="BF"/>
                        </w:rPr>
                        <w:t>“I was ready to file for bankruptcy due to my medical expenses. Thanks to your guidance, I now understand my options when selecting Medicare Part D plans. I can't believe that I will pay less for coverage and my costs for drugs will decrease.”  -- Kansas Senior Citizen</w:t>
                      </w:r>
                    </w:p>
                    <w:p w:rsidR="0093519F" w:rsidRDefault="0093519F"/>
                  </w:txbxContent>
                </v:textbox>
              </v:shape>
            </w:pict>
          </mc:Fallback>
        </mc:AlternateContent>
      </w:r>
    </w:p>
    <w:p w:rsidR="00140D9B" w:rsidRDefault="00140D9B" w:rsidP="00CD691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</w:rPr>
      </w:pPr>
    </w:p>
    <w:p w:rsidR="00140D9B" w:rsidRDefault="00140D9B" w:rsidP="00CD691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</w:rPr>
      </w:pPr>
    </w:p>
    <w:p w:rsidR="00140D9B" w:rsidRDefault="00140D9B" w:rsidP="00CD691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</w:rPr>
      </w:pPr>
    </w:p>
    <w:p w:rsidR="00140D9B" w:rsidRDefault="00140D9B" w:rsidP="00CD691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</w:rPr>
      </w:pPr>
    </w:p>
    <w:p w:rsidR="00140D9B" w:rsidRDefault="00140D9B" w:rsidP="00CD691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</w:rPr>
      </w:pPr>
    </w:p>
    <w:p w:rsidR="00140D9B" w:rsidRDefault="00140D9B" w:rsidP="00CD691A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sz w:val="22"/>
        </w:rPr>
      </w:pPr>
    </w:p>
    <w:p w:rsidR="00021BF7" w:rsidRDefault="00CD691A" w:rsidP="00CD691A">
      <w:pPr>
        <w:pStyle w:val="NormalWeb"/>
        <w:spacing w:after="0" w:afterAutospacing="0"/>
        <w:rPr>
          <w:rFonts w:asciiTheme="minorHAnsi" w:hAnsiTheme="minorHAnsi" w:cs="Arial"/>
          <w:sz w:val="22"/>
        </w:rPr>
      </w:pPr>
      <w:r w:rsidRPr="00CD691A">
        <w:rPr>
          <w:rFonts w:asciiTheme="minorHAnsi" w:hAnsiTheme="minorHAnsi" w:cs="Arial"/>
          <w:b/>
          <w:sz w:val="22"/>
          <w:szCs w:val="22"/>
        </w:rPr>
        <w:t>Michigan</w:t>
      </w:r>
      <w:r w:rsidRPr="00CD691A">
        <w:rPr>
          <w:rFonts w:asciiTheme="minorHAnsi" w:hAnsiTheme="minorHAnsi" w:cs="Arial"/>
          <w:sz w:val="22"/>
          <w:szCs w:val="22"/>
        </w:rPr>
        <w:t xml:space="preserve"> partnered with </w:t>
      </w:r>
      <w:r>
        <w:rPr>
          <w:rFonts w:asciiTheme="minorHAnsi" w:hAnsiTheme="minorHAnsi" w:cs="Arial"/>
          <w:sz w:val="22"/>
          <w:szCs w:val="22"/>
        </w:rPr>
        <w:t>Macomb County</w:t>
      </w:r>
      <w:r w:rsidRPr="00CD691A">
        <w:rPr>
          <w:rFonts w:asciiTheme="minorHAnsi" w:hAnsiTheme="minorHAnsi" w:cs="Arial"/>
          <w:sz w:val="22"/>
          <w:szCs w:val="22"/>
        </w:rPr>
        <w:t xml:space="preserve"> government to reach 1</w:t>
      </w:r>
      <w:r w:rsidR="007A6352">
        <w:rPr>
          <w:rFonts w:asciiTheme="minorHAnsi" w:hAnsiTheme="minorHAnsi" w:cs="Arial"/>
          <w:sz w:val="22"/>
          <w:szCs w:val="22"/>
        </w:rPr>
        <w:t>,</w:t>
      </w:r>
      <w:r w:rsidRPr="00CD691A">
        <w:rPr>
          <w:rFonts w:asciiTheme="minorHAnsi" w:hAnsiTheme="minorHAnsi" w:cs="Arial"/>
          <w:sz w:val="22"/>
          <w:szCs w:val="22"/>
        </w:rPr>
        <w:t xml:space="preserve">309 residents with money management programs. The </w:t>
      </w:r>
      <w:r>
        <w:rPr>
          <w:rFonts w:asciiTheme="minorHAnsi" w:hAnsiTheme="minorHAnsi" w:cs="Arial"/>
          <w:sz w:val="22"/>
          <w:szCs w:val="22"/>
        </w:rPr>
        <w:t>county t</w:t>
      </w:r>
      <w:r w:rsidRPr="00CD691A">
        <w:rPr>
          <w:rFonts w:asciiTheme="minorHAnsi" w:hAnsiTheme="minorHAnsi" w:cs="Arial"/>
          <w:sz w:val="22"/>
          <w:szCs w:val="22"/>
        </w:rPr>
        <w:t xml:space="preserve">reasurer's office reported 204 residents had been assisted with $1,203,512.42 in repaid delinquent property taxes. The </w:t>
      </w:r>
      <w:r>
        <w:rPr>
          <w:rFonts w:asciiTheme="minorHAnsi" w:hAnsiTheme="minorHAnsi" w:cs="Arial"/>
          <w:sz w:val="22"/>
          <w:szCs w:val="22"/>
        </w:rPr>
        <w:t>c</w:t>
      </w:r>
      <w:r w:rsidRPr="00CD691A">
        <w:rPr>
          <w:rFonts w:asciiTheme="minorHAnsi" w:hAnsiTheme="minorHAnsi" w:cs="Arial"/>
          <w:sz w:val="22"/>
          <w:szCs w:val="22"/>
        </w:rPr>
        <w:t>ounty</w:t>
      </w:r>
      <w:r w:rsidRPr="00CD691A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e</w:t>
      </w:r>
      <w:r w:rsidRPr="00CD691A">
        <w:rPr>
          <w:rFonts w:asciiTheme="minorHAnsi" w:hAnsiTheme="minorHAnsi" w:cs="Arial"/>
          <w:sz w:val="22"/>
        </w:rPr>
        <w:t xml:space="preserve">xecutive </w:t>
      </w:r>
    </w:p>
    <w:p w:rsidR="00CD691A" w:rsidRPr="00CD691A" w:rsidRDefault="00CD691A" w:rsidP="00021BF7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</w:rPr>
      </w:pPr>
      <w:r w:rsidRPr="00CD691A">
        <w:rPr>
          <w:rFonts w:asciiTheme="minorHAnsi" w:hAnsiTheme="minorHAnsi" w:cs="Arial"/>
          <w:sz w:val="22"/>
        </w:rPr>
        <w:t xml:space="preserve">recognized the impact the partnership with </w:t>
      </w:r>
      <w:r w:rsidRPr="00CD691A">
        <w:rPr>
          <w:rFonts w:asciiTheme="minorHAnsi" w:hAnsiTheme="minorHAnsi" w:cs="Arial"/>
          <w:b/>
          <w:sz w:val="22"/>
        </w:rPr>
        <w:t>Michigan</w:t>
      </w:r>
      <w:r w:rsidRPr="00CD691A">
        <w:rPr>
          <w:rFonts w:asciiTheme="minorHAnsi" w:hAnsiTheme="minorHAnsi" w:cs="Arial"/>
          <w:sz w:val="22"/>
        </w:rPr>
        <w:t xml:space="preserve"> State University Extension had in keeping residents in their homes.</w:t>
      </w:r>
    </w:p>
    <w:p w:rsidR="003E3A1C" w:rsidRDefault="00CD691A" w:rsidP="00CD691A">
      <w:pPr>
        <w:pStyle w:val="NormalWeb"/>
        <w:spacing w:after="240" w:afterAutospacing="0"/>
        <w:rPr>
          <w:rFonts w:asciiTheme="minorHAnsi" w:hAnsiTheme="minorHAnsi" w:cs="Arial"/>
          <w:sz w:val="22"/>
        </w:rPr>
      </w:pPr>
      <w:r w:rsidRPr="009017A5">
        <w:rPr>
          <w:rFonts w:asciiTheme="minorHAnsi" w:hAnsiTheme="minorHAnsi" w:cs="Arial"/>
          <w:b/>
          <w:sz w:val="22"/>
        </w:rPr>
        <w:t>Missouri’s</w:t>
      </w:r>
      <w:r w:rsidRPr="009017A5">
        <w:rPr>
          <w:rFonts w:asciiTheme="minorHAnsi" w:hAnsiTheme="minorHAnsi" w:cs="Arial"/>
          <w:sz w:val="22"/>
        </w:rPr>
        <w:t xml:space="preserve"> Women's Financial Education Series workshops are designed to promote self-reliance </w:t>
      </w:r>
      <w:r>
        <w:rPr>
          <w:rFonts w:asciiTheme="minorHAnsi" w:hAnsiTheme="minorHAnsi" w:cs="Arial"/>
          <w:sz w:val="22"/>
        </w:rPr>
        <w:t>and have armed</w:t>
      </w:r>
      <w:r w:rsidRPr="009017A5">
        <w:rPr>
          <w:rFonts w:asciiTheme="minorHAnsi" w:hAnsiTheme="minorHAnsi" w:cs="Arial"/>
          <w:sz w:val="22"/>
        </w:rPr>
        <w:t xml:space="preserve"> 10,584 </w:t>
      </w:r>
      <w:r>
        <w:rPr>
          <w:rFonts w:asciiTheme="minorHAnsi" w:hAnsiTheme="minorHAnsi" w:cs="Arial"/>
          <w:sz w:val="22"/>
        </w:rPr>
        <w:t xml:space="preserve">attendees </w:t>
      </w:r>
      <w:r w:rsidRPr="009017A5">
        <w:rPr>
          <w:rFonts w:asciiTheme="minorHAnsi" w:hAnsiTheme="minorHAnsi" w:cs="Arial"/>
          <w:sz w:val="22"/>
        </w:rPr>
        <w:t>with</w:t>
      </w:r>
      <w:r w:rsidR="003E3A1C">
        <w:rPr>
          <w:rFonts w:asciiTheme="minorHAnsi" w:hAnsiTheme="minorHAnsi" w:cs="Arial"/>
          <w:sz w:val="22"/>
        </w:rPr>
        <w:t xml:space="preserve"> </w:t>
      </w:r>
      <w:r w:rsidRPr="009017A5">
        <w:rPr>
          <w:rFonts w:asciiTheme="minorHAnsi" w:hAnsiTheme="minorHAnsi" w:cs="Arial"/>
          <w:sz w:val="22"/>
        </w:rPr>
        <w:t xml:space="preserve">knowledge </w:t>
      </w:r>
      <w:r w:rsidR="00397F48">
        <w:rPr>
          <w:rFonts w:asciiTheme="minorHAnsi" w:hAnsiTheme="minorHAnsi" w:cs="Arial"/>
          <w:sz w:val="22"/>
        </w:rPr>
        <w:t>and</w:t>
      </w:r>
      <w:r>
        <w:rPr>
          <w:rFonts w:asciiTheme="minorHAnsi" w:hAnsiTheme="minorHAnsi" w:cs="Arial"/>
          <w:sz w:val="22"/>
        </w:rPr>
        <w:t xml:space="preserve"> </w:t>
      </w:r>
      <w:r w:rsidRPr="009017A5">
        <w:rPr>
          <w:rFonts w:asciiTheme="minorHAnsi" w:hAnsiTheme="minorHAnsi" w:cs="Arial"/>
          <w:sz w:val="22"/>
        </w:rPr>
        <w:t>skills about money management, credit, insurance, estate</w:t>
      </w:r>
      <w:r w:rsidR="007A6352">
        <w:rPr>
          <w:rFonts w:asciiTheme="minorHAnsi" w:hAnsiTheme="minorHAnsi" w:cs="Arial"/>
          <w:sz w:val="22"/>
        </w:rPr>
        <w:t>,</w:t>
      </w:r>
      <w:r w:rsidRPr="009017A5">
        <w:rPr>
          <w:rFonts w:asciiTheme="minorHAnsi" w:hAnsiTheme="minorHAnsi" w:cs="Arial"/>
          <w:sz w:val="22"/>
        </w:rPr>
        <w:t xml:space="preserve"> and retirement planning. </w:t>
      </w:r>
    </w:p>
    <w:p w:rsidR="00CD691A" w:rsidRPr="009017A5" w:rsidRDefault="00FD6913" w:rsidP="00CD691A">
      <w:pPr>
        <w:pStyle w:val="NormalWeb"/>
        <w:spacing w:after="240" w:afterAutospacing="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i/>
          <w:sz w:val="22"/>
        </w:rPr>
        <w:t>A</w:t>
      </w:r>
      <w:r w:rsidR="00CD691A" w:rsidRPr="009017A5">
        <w:rPr>
          <w:rFonts w:asciiTheme="minorHAnsi" w:hAnsiTheme="minorHAnsi" w:cs="Arial"/>
          <w:i/>
          <w:sz w:val="22"/>
        </w:rPr>
        <w:t>merica Saves Week</w:t>
      </w:r>
      <w:r w:rsidR="00CD691A" w:rsidRPr="009017A5">
        <w:rPr>
          <w:rFonts w:asciiTheme="minorHAnsi" w:hAnsiTheme="minorHAnsi" w:cs="Arial"/>
          <w:sz w:val="22"/>
        </w:rPr>
        <w:t xml:space="preserve"> messages reached 304,572 </w:t>
      </w:r>
      <w:r w:rsidR="0093519F" w:rsidRPr="0093519F">
        <w:rPr>
          <w:rFonts w:asciiTheme="minorHAnsi" w:hAnsiTheme="minorHAnsi" w:cs="Arial"/>
          <w:b/>
          <w:sz w:val="22"/>
        </w:rPr>
        <w:t>New Yorkers</w:t>
      </w:r>
      <w:r w:rsidR="0093519F">
        <w:rPr>
          <w:rFonts w:asciiTheme="minorHAnsi" w:hAnsiTheme="minorHAnsi" w:cs="Arial"/>
          <w:sz w:val="22"/>
        </w:rPr>
        <w:t xml:space="preserve"> </w:t>
      </w:r>
      <w:r w:rsidR="00CD691A" w:rsidRPr="009017A5">
        <w:rPr>
          <w:rFonts w:asciiTheme="minorHAnsi" w:hAnsiTheme="minorHAnsi" w:cs="Arial"/>
          <w:sz w:val="22"/>
        </w:rPr>
        <w:t>through state and county proclamations, newsletters, social and electronic marketing, local media</w:t>
      </w:r>
      <w:r w:rsidR="007A6352">
        <w:rPr>
          <w:rFonts w:asciiTheme="minorHAnsi" w:hAnsiTheme="minorHAnsi" w:cs="Arial"/>
          <w:sz w:val="22"/>
        </w:rPr>
        <w:t>,</w:t>
      </w:r>
      <w:r w:rsidR="00CD691A" w:rsidRPr="009017A5">
        <w:rPr>
          <w:rFonts w:asciiTheme="minorHAnsi" w:hAnsiTheme="minorHAnsi" w:cs="Arial"/>
          <w:sz w:val="22"/>
        </w:rPr>
        <w:t xml:space="preserve"> and Head Start classes.</w:t>
      </w:r>
      <w:r w:rsidR="00CD691A" w:rsidRPr="0093519F">
        <w:rPr>
          <w:rFonts w:asciiTheme="minorHAnsi" w:hAnsiTheme="minorHAnsi" w:cs="Arial"/>
          <w:b/>
          <w:sz w:val="22"/>
        </w:rPr>
        <w:t xml:space="preserve"> </w:t>
      </w:r>
      <w:r w:rsidR="0093519F" w:rsidRPr="0093519F">
        <w:rPr>
          <w:rFonts w:asciiTheme="minorHAnsi" w:hAnsiTheme="minorHAnsi" w:cs="Arial"/>
          <w:b/>
          <w:sz w:val="22"/>
        </w:rPr>
        <w:t>Alabama’s</w:t>
      </w:r>
      <w:r w:rsidR="0093519F">
        <w:rPr>
          <w:rFonts w:asciiTheme="minorHAnsi" w:hAnsiTheme="minorHAnsi" w:cs="Arial"/>
          <w:sz w:val="22"/>
        </w:rPr>
        <w:t xml:space="preserve"> financial programs improved 7,181 youth’s knowledge of budg</w:t>
      </w:r>
      <w:r w:rsidR="00374F2B">
        <w:rPr>
          <w:rFonts w:asciiTheme="minorHAnsi" w:hAnsiTheme="minorHAnsi" w:cs="Arial"/>
          <w:sz w:val="22"/>
        </w:rPr>
        <w:t>et</w:t>
      </w:r>
      <w:r w:rsidR="0093519F">
        <w:rPr>
          <w:rFonts w:asciiTheme="minorHAnsi" w:hAnsiTheme="minorHAnsi" w:cs="Arial"/>
          <w:sz w:val="22"/>
        </w:rPr>
        <w:t>ing, lifestyle choices, and career opportunities.</w:t>
      </w:r>
    </w:p>
    <w:p w:rsidR="00CD691A" w:rsidRDefault="00CD691A" w:rsidP="00CD691A">
      <w:pPr>
        <w:pStyle w:val="NormalWeb"/>
        <w:spacing w:after="240" w:afterAutospacing="0"/>
        <w:rPr>
          <w:rFonts w:asciiTheme="minorHAnsi" w:hAnsiTheme="minorHAnsi" w:cs="Arial"/>
          <w:sz w:val="22"/>
        </w:rPr>
      </w:pPr>
      <w:r w:rsidRPr="009017A5">
        <w:rPr>
          <w:rFonts w:asciiTheme="minorHAnsi" w:hAnsiTheme="minorHAnsi" w:cs="Arial"/>
          <w:b/>
          <w:sz w:val="22"/>
        </w:rPr>
        <w:t xml:space="preserve">Ohio </w:t>
      </w:r>
      <w:r w:rsidRPr="00CD691A">
        <w:rPr>
          <w:rFonts w:asciiTheme="minorHAnsi" w:hAnsiTheme="minorHAnsi" w:cs="Arial"/>
          <w:sz w:val="22"/>
        </w:rPr>
        <w:t>State University</w:t>
      </w:r>
      <w:r w:rsidRPr="009017A5">
        <w:rPr>
          <w:rFonts w:asciiTheme="minorHAnsi" w:hAnsiTheme="minorHAnsi" w:cs="Arial"/>
          <w:sz w:val="22"/>
        </w:rPr>
        <w:t xml:space="preserve"> Extension conducted weekly programs on parenting, basic money management, nutrition and health, home management</w:t>
      </w:r>
      <w:r w:rsidR="007A6352">
        <w:rPr>
          <w:rFonts w:asciiTheme="minorHAnsi" w:hAnsiTheme="minorHAnsi" w:cs="Arial"/>
          <w:sz w:val="22"/>
        </w:rPr>
        <w:t>,</w:t>
      </w:r>
      <w:r w:rsidRPr="009017A5">
        <w:rPr>
          <w:rFonts w:asciiTheme="minorHAnsi" w:hAnsiTheme="minorHAnsi" w:cs="Arial"/>
          <w:sz w:val="22"/>
        </w:rPr>
        <w:t xml:space="preserve"> and related topics to women sentenced to the Delaware County Jail Re</w:t>
      </w:r>
      <w:r>
        <w:rPr>
          <w:rFonts w:asciiTheme="minorHAnsi" w:hAnsiTheme="minorHAnsi" w:cs="Arial"/>
          <w:sz w:val="22"/>
        </w:rPr>
        <w:t>-</w:t>
      </w:r>
      <w:r w:rsidRPr="009017A5">
        <w:rPr>
          <w:rFonts w:asciiTheme="minorHAnsi" w:hAnsiTheme="minorHAnsi" w:cs="Arial"/>
          <w:sz w:val="22"/>
        </w:rPr>
        <w:t>Entry program, Jobs program</w:t>
      </w:r>
      <w:r w:rsidR="007A6352">
        <w:rPr>
          <w:rFonts w:asciiTheme="minorHAnsi" w:hAnsiTheme="minorHAnsi" w:cs="Arial"/>
          <w:sz w:val="22"/>
        </w:rPr>
        <w:t>,</w:t>
      </w:r>
      <w:r w:rsidRPr="009017A5">
        <w:rPr>
          <w:rFonts w:asciiTheme="minorHAnsi" w:hAnsiTheme="minorHAnsi" w:cs="Arial"/>
          <w:sz w:val="22"/>
        </w:rPr>
        <w:t xml:space="preserve"> and Habitat for Humanity. All 241 participants have indicated they gained new information and will change behavior. </w:t>
      </w:r>
    </w:p>
    <w:p w:rsidR="00CD691A" w:rsidRDefault="00CD691A" w:rsidP="00CD691A">
      <w:pPr>
        <w:pStyle w:val="NormalWeb"/>
        <w:spacing w:after="240" w:afterAutospacing="0"/>
        <w:rPr>
          <w:rFonts w:asciiTheme="minorHAnsi" w:hAnsiTheme="minorHAnsi" w:cs="Arial"/>
          <w:b/>
          <w:sz w:val="22"/>
        </w:rPr>
      </w:pPr>
      <w:r w:rsidRPr="009017A5">
        <w:rPr>
          <w:rFonts w:asciiTheme="minorHAnsi" w:hAnsiTheme="minorHAnsi" w:cs="Arial"/>
          <w:b/>
          <w:sz w:val="22"/>
        </w:rPr>
        <w:t xml:space="preserve">Oklahoma’s </w:t>
      </w:r>
      <w:r w:rsidRPr="009017A5">
        <w:rPr>
          <w:rFonts w:asciiTheme="minorHAnsi" w:hAnsiTheme="minorHAnsi" w:cs="Arial"/>
          <w:sz w:val="22"/>
        </w:rPr>
        <w:t xml:space="preserve">financial programming reached 886 citizens. </w:t>
      </w:r>
      <w:r w:rsidRPr="00387A32">
        <w:rPr>
          <w:rFonts w:asciiTheme="minorHAnsi" w:hAnsiTheme="minorHAnsi" w:cs="Arial"/>
          <w:i/>
          <w:sz w:val="22"/>
        </w:rPr>
        <w:t>Making Sense of Money Management</w:t>
      </w:r>
      <w:r w:rsidRPr="009017A5">
        <w:rPr>
          <w:rFonts w:asciiTheme="minorHAnsi" w:hAnsiTheme="minorHAnsi" w:cs="Arial"/>
          <w:sz w:val="22"/>
        </w:rPr>
        <w:t xml:space="preserve"> classes are offered in partnership with the District Attorney’s Bogus Check Division. Participants </w:t>
      </w:r>
      <w:r>
        <w:rPr>
          <w:rFonts w:asciiTheme="minorHAnsi" w:hAnsiTheme="minorHAnsi" w:cs="Arial"/>
          <w:sz w:val="22"/>
        </w:rPr>
        <w:t>learn</w:t>
      </w:r>
      <w:r w:rsidR="00EF369A">
        <w:rPr>
          <w:rFonts w:asciiTheme="minorHAnsi" w:hAnsiTheme="minorHAnsi" w:cs="Arial"/>
          <w:sz w:val="22"/>
        </w:rPr>
        <w:t>ed</w:t>
      </w:r>
      <w:r>
        <w:rPr>
          <w:rFonts w:asciiTheme="minorHAnsi" w:hAnsiTheme="minorHAnsi" w:cs="Arial"/>
          <w:sz w:val="22"/>
        </w:rPr>
        <w:t xml:space="preserve"> how to </w:t>
      </w:r>
      <w:r w:rsidRPr="009017A5">
        <w:rPr>
          <w:rFonts w:asciiTheme="minorHAnsi" w:hAnsiTheme="minorHAnsi" w:cs="Arial"/>
          <w:sz w:val="22"/>
        </w:rPr>
        <w:t xml:space="preserve">balance checking account statements and personal check records and are offered this class as an alternative to </w:t>
      </w:r>
      <w:r w:rsidR="00266573">
        <w:rPr>
          <w:rFonts w:asciiTheme="minorHAnsi" w:hAnsiTheme="minorHAnsi" w:cs="Arial"/>
          <w:sz w:val="22"/>
        </w:rPr>
        <w:t xml:space="preserve">appearing in </w:t>
      </w:r>
      <w:r w:rsidRPr="009017A5">
        <w:rPr>
          <w:rFonts w:asciiTheme="minorHAnsi" w:hAnsiTheme="minorHAnsi" w:cs="Arial"/>
          <w:sz w:val="22"/>
        </w:rPr>
        <w:t>court</w:t>
      </w:r>
      <w:r>
        <w:rPr>
          <w:rFonts w:asciiTheme="minorHAnsi" w:hAnsiTheme="minorHAnsi" w:cs="Arial"/>
          <w:sz w:val="22"/>
        </w:rPr>
        <w:t xml:space="preserve">. </w:t>
      </w:r>
      <w:r w:rsidRPr="00387A32">
        <w:rPr>
          <w:rFonts w:asciiTheme="minorHAnsi" w:hAnsiTheme="minorHAnsi" w:cs="Arial"/>
          <w:b/>
          <w:sz w:val="22"/>
        </w:rPr>
        <w:t>OK</w:t>
      </w:r>
      <w:r>
        <w:rPr>
          <w:rFonts w:asciiTheme="minorHAnsi" w:hAnsiTheme="minorHAnsi" w:cs="Arial"/>
          <w:sz w:val="22"/>
        </w:rPr>
        <w:t xml:space="preserve">’s </w:t>
      </w:r>
      <w:r w:rsidRPr="00387A32">
        <w:rPr>
          <w:rFonts w:asciiTheme="minorHAnsi" w:hAnsiTheme="minorHAnsi" w:cs="Arial"/>
          <w:i/>
          <w:sz w:val="22"/>
        </w:rPr>
        <w:t xml:space="preserve">Dollar Decisions </w:t>
      </w:r>
      <w:r w:rsidRPr="009017A5">
        <w:rPr>
          <w:rFonts w:asciiTheme="minorHAnsi" w:hAnsiTheme="minorHAnsi" w:cs="Arial"/>
          <w:sz w:val="22"/>
        </w:rPr>
        <w:t>program partners w</w:t>
      </w:r>
      <w:r w:rsidR="00BA2B9D">
        <w:rPr>
          <w:rFonts w:asciiTheme="minorHAnsi" w:hAnsiTheme="minorHAnsi" w:cs="Arial"/>
          <w:sz w:val="22"/>
        </w:rPr>
        <w:t xml:space="preserve">ith community banks </w:t>
      </w:r>
      <w:r w:rsidRPr="009017A5">
        <w:rPr>
          <w:rFonts w:asciiTheme="minorHAnsi" w:hAnsiTheme="minorHAnsi" w:cs="Arial"/>
          <w:sz w:val="22"/>
        </w:rPr>
        <w:t xml:space="preserve">to enable participants to create spending plans, savings accounts and track expenses. </w:t>
      </w:r>
    </w:p>
    <w:p w:rsidR="00CD691A" w:rsidRPr="009017A5" w:rsidRDefault="00CD691A" w:rsidP="00CD691A">
      <w:pPr>
        <w:pStyle w:val="NormalWeb"/>
        <w:spacing w:after="240" w:afterAutospacing="0"/>
        <w:rPr>
          <w:rFonts w:asciiTheme="minorHAnsi" w:hAnsiTheme="minorHAnsi" w:cs="Arial"/>
          <w:sz w:val="22"/>
        </w:rPr>
      </w:pPr>
      <w:r w:rsidRPr="009017A5">
        <w:rPr>
          <w:rFonts w:asciiTheme="minorHAnsi" w:hAnsiTheme="minorHAnsi" w:cs="Arial"/>
          <w:b/>
          <w:sz w:val="22"/>
        </w:rPr>
        <w:t>Tennessee’s</w:t>
      </w:r>
      <w:r w:rsidRPr="009017A5">
        <w:rPr>
          <w:rFonts w:asciiTheme="minorHAnsi" w:hAnsiTheme="minorHAnsi" w:cs="Arial"/>
          <w:sz w:val="22"/>
        </w:rPr>
        <w:t xml:space="preserve"> financial </w:t>
      </w:r>
      <w:r w:rsidR="0093519F">
        <w:rPr>
          <w:rFonts w:asciiTheme="minorHAnsi" w:hAnsiTheme="minorHAnsi" w:cs="Arial"/>
          <w:sz w:val="22"/>
        </w:rPr>
        <w:t xml:space="preserve">programs </w:t>
      </w:r>
      <w:r w:rsidRPr="009017A5">
        <w:rPr>
          <w:rFonts w:asciiTheme="minorHAnsi" w:hAnsiTheme="minorHAnsi" w:cs="Arial"/>
          <w:sz w:val="22"/>
        </w:rPr>
        <w:t>are conducted through bankruptcy education, homebuyer education, High School Financial Planning</w:t>
      </w:r>
      <w:r>
        <w:rPr>
          <w:rFonts w:asciiTheme="minorHAnsi" w:hAnsiTheme="minorHAnsi" w:cs="Arial"/>
          <w:sz w:val="22"/>
        </w:rPr>
        <w:t>/</w:t>
      </w:r>
      <w:r w:rsidRPr="009017A5">
        <w:rPr>
          <w:rFonts w:asciiTheme="minorHAnsi" w:hAnsiTheme="minorHAnsi" w:cs="Arial"/>
          <w:sz w:val="22"/>
        </w:rPr>
        <w:t>teacher training, and financial education simulations for youth</w:t>
      </w:r>
      <w:r w:rsidR="007A6352">
        <w:rPr>
          <w:rFonts w:asciiTheme="minorHAnsi" w:hAnsiTheme="minorHAnsi" w:cs="Arial"/>
          <w:sz w:val="22"/>
        </w:rPr>
        <w:t>. Altogether they reached</w:t>
      </w:r>
      <w:r w:rsidR="00266573">
        <w:rPr>
          <w:rFonts w:asciiTheme="minorHAnsi" w:hAnsiTheme="minorHAnsi" w:cs="Arial"/>
          <w:sz w:val="22"/>
        </w:rPr>
        <w:t xml:space="preserve"> </w:t>
      </w:r>
      <w:r w:rsidRPr="009017A5">
        <w:rPr>
          <w:rFonts w:asciiTheme="minorHAnsi" w:hAnsiTheme="minorHAnsi" w:cs="Arial"/>
          <w:sz w:val="22"/>
        </w:rPr>
        <w:t xml:space="preserve">174,634 </w:t>
      </w:r>
      <w:r w:rsidR="00266573">
        <w:rPr>
          <w:rFonts w:asciiTheme="minorHAnsi" w:hAnsiTheme="minorHAnsi" w:cs="Arial"/>
          <w:sz w:val="22"/>
        </w:rPr>
        <w:t xml:space="preserve">individuals </w:t>
      </w:r>
      <w:r w:rsidR="0093519F">
        <w:rPr>
          <w:rFonts w:asciiTheme="minorHAnsi" w:hAnsiTheme="minorHAnsi" w:cs="Arial"/>
          <w:sz w:val="22"/>
        </w:rPr>
        <w:t xml:space="preserve">with an estimated program </w:t>
      </w:r>
      <w:r>
        <w:rPr>
          <w:rFonts w:asciiTheme="minorHAnsi" w:hAnsiTheme="minorHAnsi" w:cs="Arial"/>
          <w:sz w:val="22"/>
        </w:rPr>
        <w:t>savings</w:t>
      </w:r>
      <w:r w:rsidRPr="009017A5">
        <w:rPr>
          <w:rFonts w:asciiTheme="minorHAnsi" w:hAnsiTheme="minorHAnsi" w:cs="Arial"/>
          <w:sz w:val="22"/>
        </w:rPr>
        <w:t xml:space="preserve"> </w:t>
      </w:r>
      <w:r w:rsidR="00D4149C">
        <w:rPr>
          <w:rFonts w:asciiTheme="minorHAnsi" w:hAnsiTheme="minorHAnsi" w:cs="Arial"/>
          <w:sz w:val="22"/>
        </w:rPr>
        <w:t xml:space="preserve">and </w:t>
      </w:r>
      <w:r w:rsidRPr="009017A5">
        <w:rPr>
          <w:rFonts w:asciiTheme="minorHAnsi" w:hAnsiTheme="minorHAnsi" w:cs="Arial"/>
          <w:sz w:val="22"/>
        </w:rPr>
        <w:t>debt reduction</w:t>
      </w:r>
      <w:r w:rsidR="007A6352">
        <w:rPr>
          <w:rFonts w:asciiTheme="minorHAnsi" w:hAnsiTheme="minorHAnsi" w:cs="Arial"/>
          <w:sz w:val="22"/>
        </w:rPr>
        <w:t xml:space="preserve"> total</w:t>
      </w:r>
      <w:r w:rsidR="00D4149C">
        <w:rPr>
          <w:rFonts w:asciiTheme="minorHAnsi" w:hAnsiTheme="minorHAnsi" w:cs="Arial"/>
          <w:sz w:val="22"/>
        </w:rPr>
        <w:t>ing</w:t>
      </w:r>
      <w:r w:rsidRPr="009017A5">
        <w:rPr>
          <w:rFonts w:asciiTheme="minorHAnsi" w:hAnsiTheme="minorHAnsi" w:cs="Arial"/>
          <w:sz w:val="22"/>
        </w:rPr>
        <w:t xml:space="preserve"> $73,104,447</w:t>
      </w:r>
      <w:r w:rsidR="00266573">
        <w:rPr>
          <w:rFonts w:asciiTheme="minorHAnsi" w:hAnsiTheme="minorHAnsi" w:cs="Arial"/>
          <w:sz w:val="22"/>
        </w:rPr>
        <w:t>.</w:t>
      </w:r>
    </w:p>
    <w:p w:rsidR="00CD691A" w:rsidRDefault="00397F48" w:rsidP="00CD691A">
      <w:pPr>
        <w:pStyle w:val="NormalWeb"/>
        <w:spacing w:after="240" w:afterAutospacing="0"/>
        <w:rPr>
          <w:rFonts w:cs="Arial"/>
          <w:b/>
        </w:rPr>
      </w:pPr>
      <w:r>
        <w:rPr>
          <w:rFonts w:asciiTheme="minorHAnsi" w:hAnsiTheme="minorHAnsi" w:cs="Arial"/>
          <w:b/>
        </w:rPr>
        <w:t>H</w:t>
      </w:r>
      <w:r w:rsidR="00CD691A" w:rsidRPr="001219BF">
        <w:rPr>
          <w:rFonts w:asciiTheme="minorHAnsi" w:hAnsiTheme="minorHAnsi" w:cs="Arial"/>
          <w:b/>
        </w:rPr>
        <w:t xml:space="preserve">ealth </w:t>
      </w:r>
      <w:r w:rsidR="00CD691A">
        <w:rPr>
          <w:rFonts w:asciiTheme="minorHAnsi" w:hAnsiTheme="minorHAnsi" w:cs="Arial"/>
          <w:b/>
        </w:rPr>
        <w:t xml:space="preserve">Insurance </w:t>
      </w:r>
      <w:r w:rsidR="00CD691A" w:rsidRPr="001219BF">
        <w:rPr>
          <w:rFonts w:asciiTheme="minorHAnsi" w:hAnsiTheme="minorHAnsi" w:cs="Arial"/>
          <w:b/>
        </w:rPr>
        <w:t>and Taxes</w:t>
      </w:r>
    </w:p>
    <w:p w:rsidR="00CD691A" w:rsidRPr="001219BF" w:rsidRDefault="0085075F" w:rsidP="00CD691A">
      <w:pPr>
        <w:rPr>
          <w:rFonts w:cs="Arial"/>
          <w:sz w:val="24"/>
          <w:szCs w:val="24"/>
        </w:rPr>
      </w:pPr>
      <w:r w:rsidRPr="0085075F"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8D514" wp14:editId="5DE32AAB">
                <wp:simplePos x="0" y="0"/>
                <wp:positionH relativeFrom="column">
                  <wp:posOffset>5621020</wp:posOffset>
                </wp:positionH>
                <wp:positionV relativeFrom="paragraph">
                  <wp:posOffset>-6148981</wp:posOffset>
                </wp:positionV>
                <wp:extent cx="1033669" cy="357809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19F" w:rsidRDefault="0093519F">
                            <w:r>
                              <w:rPr>
                                <w:rFonts w:ascii="Arial Narrow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>NEAFCS</w:t>
                            </w:r>
                            <w:r>
                              <w:rPr>
                                <w:rFonts w:ascii="Arial Narrow"/>
                                <w:b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231F20"/>
                                <w:sz w:val="20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2.6pt;margin-top:-484.15pt;width:81.4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" stroked="f">
                <v:textbox>
                  <w:txbxContent>
                    <w:p w:rsidR="0093519F" w:rsidRDefault="0093519F">
                      <w:r>
                        <w:rPr>
                          <w:rFonts w:ascii="Arial Narrow"/>
                          <w:b/>
                          <w:color w:val="231F20"/>
                          <w:spacing w:val="-1"/>
                          <w:sz w:val="20"/>
                        </w:rPr>
                        <w:t>NEAFCS</w:t>
                      </w:r>
                      <w:r>
                        <w:rPr>
                          <w:rFonts w:ascii="Arial Narrow"/>
                          <w:b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31F20"/>
                          <w:sz w:val="20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CD691A" w:rsidRPr="009017A5">
        <w:rPr>
          <w:rFonts w:cs="Arial"/>
          <w:b/>
          <w:szCs w:val="24"/>
        </w:rPr>
        <w:t>Delaware</w:t>
      </w:r>
      <w:r w:rsidR="00CD691A" w:rsidRPr="009017A5">
        <w:rPr>
          <w:rFonts w:cs="Arial"/>
          <w:szCs w:val="24"/>
        </w:rPr>
        <w:t xml:space="preserve"> </w:t>
      </w:r>
      <w:r w:rsidR="00EF369A">
        <w:rPr>
          <w:rFonts w:cs="Arial"/>
          <w:szCs w:val="24"/>
        </w:rPr>
        <w:t>FCS</w:t>
      </w:r>
      <w:r w:rsidR="00CD691A" w:rsidRPr="009017A5">
        <w:rPr>
          <w:rFonts w:cs="Arial"/>
          <w:szCs w:val="24"/>
        </w:rPr>
        <w:t xml:space="preserve"> educators assisted 401 uninsured consumers about health insurance, Medicaid, CHIP, the Affordable Care Act, and the Marketplace. These consumers are then better equipped to choose a health insurance plan. This outreach includes child care provider training on managing money, credit</w:t>
      </w:r>
      <w:r w:rsidR="007A6352">
        <w:rPr>
          <w:rFonts w:cs="Arial"/>
          <w:szCs w:val="24"/>
        </w:rPr>
        <w:t>,</w:t>
      </w:r>
      <w:r w:rsidR="00CD691A" w:rsidRPr="009017A5">
        <w:rPr>
          <w:rFonts w:cs="Arial"/>
          <w:szCs w:val="24"/>
        </w:rPr>
        <w:t xml:space="preserve"> and savings as well as how to create a retirement paycheck for their small business.</w:t>
      </w:r>
    </w:p>
    <w:p w:rsidR="00CD691A" w:rsidRDefault="00CD691A" w:rsidP="00CD691A">
      <w:pPr>
        <w:pStyle w:val="NormalWeb"/>
        <w:spacing w:after="240" w:afterAutospacing="0"/>
        <w:rPr>
          <w:rFonts w:asciiTheme="minorHAnsi" w:hAnsiTheme="minorHAnsi" w:cs="Arial"/>
          <w:sz w:val="22"/>
        </w:rPr>
      </w:pPr>
      <w:r w:rsidRPr="009017A5">
        <w:rPr>
          <w:rFonts w:asciiTheme="minorHAnsi" w:hAnsiTheme="minorHAnsi" w:cs="Arial"/>
          <w:b/>
          <w:sz w:val="22"/>
        </w:rPr>
        <w:t>Kansas</w:t>
      </w:r>
      <w:r w:rsidRPr="009017A5">
        <w:rPr>
          <w:rFonts w:asciiTheme="minorHAnsi" w:hAnsiTheme="minorHAnsi" w:cs="Arial"/>
          <w:sz w:val="22"/>
        </w:rPr>
        <w:t xml:space="preserve"> </w:t>
      </w:r>
      <w:r w:rsidR="00EF369A">
        <w:rPr>
          <w:rFonts w:asciiTheme="minorHAnsi" w:hAnsiTheme="minorHAnsi" w:cs="Arial"/>
          <w:sz w:val="22"/>
        </w:rPr>
        <w:t>E</w:t>
      </w:r>
      <w:r w:rsidRPr="009017A5">
        <w:rPr>
          <w:rFonts w:asciiTheme="minorHAnsi" w:hAnsiTheme="minorHAnsi" w:cs="Arial"/>
          <w:sz w:val="22"/>
        </w:rPr>
        <w:t>xtension provide</w:t>
      </w:r>
      <w:r w:rsidR="007A6352">
        <w:rPr>
          <w:rFonts w:asciiTheme="minorHAnsi" w:hAnsiTheme="minorHAnsi" w:cs="Arial"/>
          <w:sz w:val="22"/>
        </w:rPr>
        <w:t>d</w:t>
      </w:r>
      <w:r w:rsidRPr="009017A5">
        <w:rPr>
          <w:rFonts w:asciiTheme="minorHAnsi" w:hAnsiTheme="minorHAnsi" w:cs="Arial"/>
          <w:sz w:val="22"/>
        </w:rPr>
        <w:t xml:space="preserve"> leadership for 10,207 tax return preparations. Kansas </w:t>
      </w:r>
      <w:r>
        <w:rPr>
          <w:rFonts w:asciiTheme="minorHAnsi" w:hAnsiTheme="minorHAnsi" w:cs="Arial"/>
          <w:sz w:val="22"/>
        </w:rPr>
        <w:t>FCS educators</w:t>
      </w:r>
      <w:r w:rsidRPr="009017A5">
        <w:rPr>
          <w:rFonts w:asciiTheme="minorHAnsi" w:hAnsiTheme="minorHAnsi" w:cs="Arial"/>
          <w:sz w:val="22"/>
        </w:rPr>
        <w:t xml:space="preserve"> taught 5254 senior citizens about Medicare Part D choices. As a result of their efforts, 1855 plans were changed which resulted in a savings of $1,700,000 for Kansas </w:t>
      </w:r>
      <w:r>
        <w:rPr>
          <w:rFonts w:asciiTheme="minorHAnsi" w:hAnsiTheme="minorHAnsi" w:cs="Arial"/>
          <w:sz w:val="22"/>
        </w:rPr>
        <w:t>s</w:t>
      </w:r>
      <w:r w:rsidRPr="009017A5">
        <w:rPr>
          <w:rFonts w:asciiTheme="minorHAnsi" w:hAnsiTheme="minorHAnsi" w:cs="Arial"/>
          <w:sz w:val="22"/>
        </w:rPr>
        <w:t xml:space="preserve">enior citizens.  </w:t>
      </w:r>
    </w:p>
    <w:p w:rsidR="00CD691A" w:rsidRDefault="00CD691A" w:rsidP="00CD691A">
      <w:pPr>
        <w:pStyle w:val="NormalWeb"/>
        <w:spacing w:after="240" w:afterAutospacing="0"/>
        <w:rPr>
          <w:rFonts w:asciiTheme="minorHAnsi" w:hAnsiTheme="minorHAnsi" w:cs="Arial"/>
          <w:sz w:val="22"/>
        </w:rPr>
      </w:pPr>
      <w:r w:rsidRPr="009017A5">
        <w:rPr>
          <w:rFonts w:asciiTheme="minorHAnsi" w:hAnsiTheme="minorHAnsi" w:cs="Arial"/>
          <w:sz w:val="22"/>
        </w:rPr>
        <w:t>In</w:t>
      </w:r>
      <w:r w:rsidRPr="009017A5">
        <w:rPr>
          <w:rFonts w:asciiTheme="minorHAnsi" w:hAnsiTheme="minorHAnsi" w:cs="Arial"/>
          <w:b/>
          <w:sz w:val="22"/>
        </w:rPr>
        <w:t xml:space="preserve"> Nebraska, </w:t>
      </w:r>
      <w:r w:rsidRPr="00CD691A">
        <w:rPr>
          <w:rFonts w:asciiTheme="minorHAnsi" w:hAnsiTheme="minorHAnsi" w:cs="Arial"/>
          <w:sz w:val="22"/>
        </w:rPr>
        <w:t>FCS</w:t>
      </w:r>
      <w:r w:rsidRPr="009017A5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educators</w:t>
      </w:r>
      <w:r w:rsidRPr="009017A5">
        <w:rPr>
          <w:rFonts w:asciiTheme="minorHAnsi" w:hAnsiTheme="minorHAnsi" w:cs="Arial"/>
          <w:sz w:val="22"/>
        </w:rPr>
        <w:t xml:space="preserve"> train court</w:t>
      </w:r>
      <w:r w:rsidR="00EF369A">
        <w:rPr>
          <w:rFonts w:asciiTheme="minorHAnsi" w:hAnsiTheme="minorHAnsi" w:cs="Arial"/>
          <w:sz w:val="22"/>
        </w:rPr>
        <w:t>-</w:t>
      </w:r>
      <w:r w:rsidRPr="009017A5">
        <w:rPr>
          <w:rFonts w:asciiTheme="minorHAnsi" w:hAnsiTheme="minorHAnsi" w:cs="Arial"/>
          <w:sz w:val="22"/>
        </w:rPr>
        <w:t>appointed guardians on financial management, report submission</w:t>
      </w:r>
      <w:r w:rsidR="007A6352">
        <w:rPr>
          <w:rFonts w:asciiTheme="minorHAnsi" w:hAnsiTheme="minorHAnsi" w:cs="Arial"/>
          <w:sz w:val="22"/>
        </w:rPr>
        <w:t>,</w:t>
      </w:r>
      <w:r w:rsidRPr="009017A5">
        <w:rPr>
          <w:rFonts w:asciiTheme="minorHAnsi" w:hAnsiTheme="minorHAnsi" w:cs="Arial"/>
          <w:sz w:val="22"/>
        </w:rPr>
        <w:t xml:space="preserve"> and advocacy. Since 2005, through UNL-Extension and the</w:t>
      </w:r>
      <w:r>
        <w:rPr>
          <w:rFonts w:asciiTheme="minorHAnsi" w:hAnsiTheme="minorHAnsi" w:cs="Arial"/>
          <w:sz w:val="22"/>
        </w:rPr>
        <w:t xml:space="preserve"> Nebraska State Bar Association, </w:t>
      </w:r>
      <w:r w:rsidRPr="009017A5">
        <w:rPr>
          <w:rFonts w:asciiTheme="minorHAnsi" w:hAnsiTheme="minorHAnsi" w:cs="Arial"/>
          <w:sz w:val="22"/>
        </w:rPr>
        <w:t>7,200 guardians have improved their skills to advocate for over 12,000 adults</w:t>
      </w:r>
      <w:r>
        <w:rPr>
          <w:rFonts w:asciiTheme="minorHAnsi" w:hAnsiTheme="minorHAnsi" w:cs="Arial"/>
          <w:sz w:val="22"/>
        </w:rPr>
        <w:t>,</w:t>
      </w:r>
      <w:r w:rsidRPr="009017A5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 xml:space="preserve">including </w:t>
      </w:r>
      <w:r w:rsidRPr="009017A5">
        <w:rPr>
          <w:rFonts w:asciiTheme="minorHAnsi" w:hAnsiTheme="minorHAnsi" w:cs="Arial"/>
          <w:sz w:val="22"/>
        </w:rPr>
        <w:t xml:space="preserve">disabled or minor wards. </w:t>
      </w:r>
    </w:p>
    <w:p w:rsidR="00CD691A" w:rsidRDefault="00CD691A" w:rsidP="00CD691A">
      <w:pPr>
        <w:pStyle w:val="NormalWeb"/>
        <w:spacing w:after="240" w:afterAutospacing="0"/>
        <w:rPr>
          <w:rFonts w:asciiTheme="minorHAnsi" w:hAnsiTheme="minorHAnsi" w:cs="Arial"/>
          <w:sz w:val="22"/>
        </w:rPr>
      </w:pPr>
      <w:r w:rsidRPr="009017A5">
        <w:rPr>
          <w:rFonts w:asciiTheme="minorHAnsi" w:hAnsiTheme="minorHAnsi" w:cs="Arial"/>
          <w:b/>
          <w:sz w:val="22"/>
        </w:rPr>
        <w:t xml:space="preserve">Utah </w:t>
      </w:r>
      <w:r w:rsidRPr="007219A1">
        <w:rPr>
          <w:rFonts w:asciiTheme="minorHAnsi" w:hAnsiTheme="minorHAnsi" w:cs="Arial"/>
          <w:sz w:val="22"/>
        </w:rPr>
        <w:t>Extension</w:t>
      </w:r>
      <w:r w:rsidRPr="009017A5">
        <w:rPr>
          <w:rFonts w:asciiTheme="minorHAnsi" w:hAnsiTheme="minorHAnsi" w:cs="Arial"/>
          <w:b/>
          <w:sz w:val="22"/>
        </w:rPr>
        <w:t xml:space="preserve"> </w:t>
      </w:r>
      <w:r w:rsidRPr="009017A5">
        <w:rPr>
          <w:rFonts w:asciiTheme="minorHAnsi" w:hAnsiTheme="minorHAnsi" w:cs="Arial"/>
          <w:sz w:val="22"/>
        </w:rPr>
        <w:t xml:space="preserve">provided </w:t>
      </w:r>
      <w:r w:rsidRPr="00CD691A">
        <w:rPr>
          <w:rFonts w:asciiTheme="minorHAnsi" w:hAnsiTheme="minorHAnsi" w:cs="Arial"/>
          <w:i/>
          <w:sz w:val="22"/>
        </w:rPr>
        <w:t>Volunteer Income Tax Assistance</w:t>
      </w:r>
      <w:r>
        <w:rPr>
          <w:rFonts w:asciiTheme="minorHAnsi" w:hAnsiTheme="minorHAnsi" w:cs="Arial"/>
          <w:sz w:val="22"/>
        </w:rPr>
        <w:t xml:space="preserve"> </w:t>
      </w:r>
      <w:r w:rsidRPr="009017A5">
        <w:rPr>
          <w:rFonts w:asciiTheme="minorHAnsi" w:hAnsiTheme="minorHAnsi" w:cs="Arial"/>
          <w:sz w:val="22"/>
        </w:rPr>
        <w:t xml:space="preserve">for 153 taxpayers </w:t>
      </w:r>
      <w:r>
        <w:rPr>
          <w:rFonts w:asciiTheme="minorHAnsi" w:hAnsiTheme="minorHAnsi" w:cs="Arial"/>
          <w:sz w:val="22"/>
        </w:rPr>
        <w:t xml:space="preserve">who </w:t>
      </w:r>
      <w:r w:rsidRPr="009017A5">
        <w:rPr>
          <w:rFonts w:asciiTheme="minorHAnsi" w:hAnsiTheme="minorHAnsi" w:cs="Arial"/>
          <w:sz w:val="22"/>
        </w:rPr>
        <w:t>received $233,800 in federal and state refunds and saved more than $32,000 in preparation costs. About $130,000 of the refunds were in the form of earned income or child tax credits</w:t>
      </w:r>
      <w:r>
        <w:rPr>
          <w:rFonts w:asciiTheme="minorHAnsi" w:hAnsiTheme="minorHAnsi" w:cs="Arial"/>
          <w:sz w:val="22"/>
        </w:rPr>
        <w:t>.</w:t>
      </w:r>
      <w:r w:rsidRPr="009017A5">
        <w:rPr>
          <w:rFonts w:asciiTheme="minorHAnsi" w:hAnsiTheme="minorHAnsi" w:cs="Arial"/>
          <w:sz w:val="22"/>
        </w:rPr>
        <w:t xml:space="preserve"> </w:t>
      </w:r>
      <w:r w:rsidR="007A6352">
        <w:rPr>
          <w:rFonts w:asciiTheme="minorHAnsi" w:hAnsiTheme="minorHAnsi" w:cs="Arial"/>
          <w:sz w:val="22"/>
        </w:rPr>
        <w:t xml:space="preserve">Individual Development Account </w:t>
      </w:r>
      <w:r w:rsidRPr="009017A5">
        <w:rPr>
          <w:rFonts w:asciiTheme="minorHAnsi" w:hAnsiTheme="minorHAnsi" w:cs="Arial"/>
          <w:sz w:val="22"/>
        </w:rPr>
        <w:t>classes provide</w:t>
      </w:r>
      <w:r w:rsidR="00EF369A">
        <w:rPr>
          <w:rFonts w:asciiTheme="minorHAnsi" w:hAnsiTheme="minorHAnsi" w:cs="Arial"/>
          <w:sz w:val="22"/>
        </w:rPr>
        <w:t>d</w:t>
      </w:r>
      <w:r w:rsidRPr="009017A5">
        <w:rPr>
          <w:rFonts w:asciiTheme="minorHAnsi" w:hAnsiTheme="minorHAnsi" w:cs="Arial"/>
          <w:sz w:val="22"/>
        </w:rPr>
        <w:t xml:space="preserve"> a matched savings opportunity to those completing the class and meeting the qualification</w:t>
      </w:r>
      <w:r w:rsidR="00BA2B9D">
        <w:rPr>
          <w:rFonts w:asciiTheme="minorHAnsi" w:hAnsiTheme="minorHAnsi" w:cs="Arial"/>
          <w:sz w:val="22"/>
        </w:rPr>
        <w:t>s to help with education, first-</w:t>
      </w:r>
      <w:r w:rsidRPr="009017A5">
        <w:rPr>
          <w:rFonts w:asciiTheme="minorHAnsi" w:hAnsiTheme="minorHAnsi" w:cs="Arial"/>
          <w:sz w:val="22"/>
        </w:rPr>
        <w:t xml:space="preserve">time home ownership or starting a small business.  </w:t>
      </w:r>
    </w:p>
    <w:p w:rsidR="00CD691A" w:rsidRPr="001219BF" w:rsidRDefault="00F557DF" w:rsidP="00890FCA">
      <w:pPr>
        <w:spacing w:before="100" w:beforeAutospacing="1" w:after="100" w:afterAutospacing="1"/>
        <w:rPr>
          <w:rFonts w:cs="Arial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 wp14:anchorId="584F04AE" wp14:editId="6A737E7F">
            <wp:simplePos x="0" y="0"/>
            <wp:positionH relativeFrom="column">
              <wp:posOffset>-3209925</wp:posOffset>
            </wp:positionH>
            <wp:positionV relativeFrom="paragraph">
              <wp:posOffset>2218055</wp:posOffset>
            </wp:positionV>
            <wp:extent cx="2209800" cy="1236980"/>
            <wp:effectExtent l="19050" t="19050" r="19050" b="20320"/>
            <wp:wrapSquare wrapText="bothSides"/>
            <wp:docPr id="6" name="irc_mi" descr="http://ak6.picdn.net/shutterstock/videos/3294665/preview/stock-footage-business-meeting-of-multi-ethnic-confident-females-talking-about-stock-exchange-speculation-using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k6.picdn.net/shutterstock/videos/3294665/preview/stock-footage-business-meeting-of-multi-ethnic-confident-females-talking-about-stock-exchange-speculation-usin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6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7F8" w:rsidRPr="001D3FB9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41B12" wp14:editId="682F5FA6">
                <wp:simplePos x="0" y="0"/>
                <wp:positionH relativeFrom="column">
                  <wp:posOffset>-123825</wp:posOffset>
                </wp:positionH>
                <wp:positionV relativeFrom="paragraph">
                  <wp:posOffset>929640</wp:posOffset>
                </wp:positionV>
                <wp:extent cx="3432175" cy="15208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152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19F" w:rsidRPr="009D40EC" w:rsidRDefault="0093519F" w:rsidP="001D3FB9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9D40EC">
                              <w:rPr>
                                <w:i/>
                                <w:sz w:val="20"/>
                              </w:rPr>
                              <w:t>This report was compiled by Diana Doggett, University of Kentucky Cooperative Extension, Public Affairs Advocacy Subcommittee chair; Cathy Martinez, University of Arizona Cooperative Extension, Public Affairs Education Subcommittee chair; and Theresa Mayhew, Cornell Cooperative Extension, Vice President – Public Affairs.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For more information, email </w:t>
                            </w:r>
                            <w:hyperlink r:id="rId15" w:history="1">
                              <w:r w:rsidRPr="003A0522">
                                <w:rPr>
                                  <w:rStyle w:val="Hyperlink"/>
                                  <w:i/>
                                  <w:sz w:val="20"/>
                                </w:rPr>
                                <w:t>tcm5@cornell.edu</w:t>
                              </w:r>
                            </w:hyperlink>
                            <w:r>
                              <w:rPr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  <w:p w:rsidR="0093519F" w:rsidRDefault="009351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75pt;margin-top:73.2pt;width:270.25pt;height:1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" filled="f" stroked="f">
                <v:textbox>
                  <w:txbxContent>
                    <w:p w:rsidR="0093519F" w:rsidRPr="009D40EC" w:rsidRDefault="0093519F" w:rsidP="001D3FB9">
                      <w:pPr>
                        <w:rPr>
                          <w:i/>
                          <w:sz w:val="20"/>
                        </w:rPr>
                      </w:pPr>
                      <w:r w:rsidRPr="009D40EC">
                        <w:rPr>
                          <w:i/>
                          <w:sz w:val="20"/>
                        </w:rPr>
                        <w:t>This report was compiled by Diana Doggett, University of Kentucky Cooperative Extension, Public Affairs Advocacy Subcommittee chair; Cathy Martinez, University of Arizona Cooperative Extension, Public Affairs Education Subcommittee chair; and Theresa Mayhew, Cornell Cooperative Extension, Vice President – Public Affairs.</w:t>
                      </w:r>
                      <w:r>
                        <w:rPr>
                          <w:i/>
                          <w:sz w:val="20"/>
                        </w:rPr>
                        <w:t xml:space="preserve"> For more information, email </w:t>
                      </w:r>
                      <w:hyperlink r:id="rId16" w:history="1">
                        <w:r w:rsidRPr="003A0522">
                          <w:rPr>
                            <w:rStyle w:val="Hyperlink"/>
                            <w:i/>
                            <w:sz w:val="20"/>
                          </w:rPr>
                          <w:t>tcm5@cornell.edu</w:t>
                        </w:r>
                      </w:hyperlink>
                      <w:r>
                        <w:rPr>
                          <w:i/>
                          <w:sz w:val="20"/>
                        </w:rPr>
                        <w:t xml:space="preserve">. </w:t>
                      </w:r>
                    </w:p>
                    <w:p w:rsidR="0093519F" w:rsidRDefault="0093519F"/>
                  </w:txbxContent>
                </v:textbox>
              </v:shape>
            </w:pict>
          </mc:Fallback>
        </mc:AlternateContent>
      </w:r>
      <w:r w:rsidR="00890FCA" w:rsidRPr="004E5A83">
        <w:rPr>
          <w:rFonts w:eastAsia="Times New Roman"/>
        </w:rPr>
        <w:t xml:space="preserve">University of </w:t>
      </w:r>
      <w:r w:rsidR="00890FCA" w:rsidRPr="00890FCA">
        <w:rPr>
          <w:rFonts w:eastAsia="Times New Roman"/>
          <w:b/>
        </w:rPr>
        <w:t>Missouri</w:t>
      </w:r>
      <w:r w:rsidR="00890FCA" w:rsidRPr="004E5A83">
        <w:rPr>
          <w:rFonts w:eastAsia="Times New Roman"/>
        </w:rPr>
        <w:t xml:space="preserve"> Extension </w:t>
      </w:r>
      <w:r w:rsidR="00890FCA">
        <w:rPr>
          <w:rFonts w:eastAsia="Times New Roman"/>
        </w:rPr>
        <w:t xml:space="preserve">and its partners offered 145 health insurance education workshops that provided 1,740 </w:t>
      </w:r>
      <w:r w:rsidR="00890FCA" w:rsidRPr="004E5A83">
        <w:rPr>
          <w:rFonts w:eastAsia="Times New Roman"/>
        </w:rPr>
        <w:t xml:space="preserve">participants with unbiased information </w:t>
      </w:r>
      <w:r w:rsidR="00890FCA">
        <w:rPr>
          <w:rFonts w:eastAsia="Times New Roman"/>
        </w:rPr>
        <w:t>on how</w:t>
      </w:r>
      <w:r w:rsidR="00890FCA" w:rsidRPr="004E5A83">
        <w:rPr>
          <w:rFonts w:eastAsia="Times New Roman"/>
        </w:rPr>
        <w:t xml:space="preserve"> the Affordable Care Act will impact them when it comes to their health and finances. </w:t>
      </w:r>
    </w:p>
    <w:p w:rsidR="0085075F" w:rsidRDefault="0085075F">
      <w:pPr>
        <w:ind w:left="2800"/>
        <w:rPr>
          <w:rFonts w:ascii="Times New Roman" w:eastAsia="Times New Roman" w:hAnsi="Times New Roman" w:cs="Times New Roman"/>
          <w:sz w:val="20"/>
          <w:szCs w:val="20"/>
        </w:rPr>
        <w:sectPr w:rsidR="0085075F" w:rsidSect="002239D3">
          <w:type w:val="continuous"/>
          <w:pgSz w:w="12240" w:h="15840"/>
          <w:pgMar w:top="1180" w:right="660" w:bottom="280" w:left="660" w:header="720" w:footer="288" w:gutter="0"/>
          <w:cols w:num="2" w:space="720"/>
          <w:titlePg/>
          <w:docGrid w:linePitch="299"/>
        </w:sectPr>
      </w:pPr>
    </w:p>
    <w:p w:rsidR="005E716E" w:rsidRDefault="005E716E" w:rsidP="002239D3">
      <w:pPr>
        <w:spacing w:line="200" w:lineRule="exact"/>
        <w:rPr>
          <w:sz w:val="20"/>
          <w:szCs w:val="20"/>
        </w:rPr>
      </w:pPr>
    </w:p>
    <w:sectPr w:rsidR="005E716E">
      <w:type w:val="continuous"/>
      <w:pgSz w:w="12240" w:h="15840"/>
      <w:pgMar w:top="1500" w:right="6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81" w:rsidRDefault="00136B81" w:rsidP="00FD6913">
      <w:r>
        <w:separator/>
      </w:r>
    </w:p>
  </w:endnote>
  <w:endnote w:type="continuationSeparator" w:id="0">
    <w:p w:rsidR="00136B81" w:rsidRDefault="00136B81" w:rsidP="00FD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9F" w:rsidRDefault="0093519F" w:rsidP="00BA2B9D">
    <w:pPr>
      <w:pStyle w:val="Footer"/>
    </w:pPr>
    <w:r>
      <w:rPr>
        <w:rFonts w:ascii="Arial" w:hAnsi="Arial" w:cs="Arial"/>
        <w:b/>
        <w:bCs/>
        <w:color w:val="000000"/>
        <w:sz w:val="21"/>
        <w:szCs w:val="21"/>
      </w:rPr>
      <w:t xml:space="preserve">National Extension Association of Family and Consumer Sciences (NEAFCS) </w:t>
    </w:r>
    <w:r>
      <w:rPr>
        <w:rFonts w:ascii="Arial" w:hAnsi="Arial" w:cs="Arial"/>
        <w:color w:val="000000"/>
        <w:sz w:val="21"/>
        <w:szCs w:val="21"/>
      </w:rPr>
      <w:t>provides professional development for Extension professionals who improve the quality of life for individuals, families, and communities and provide education in the areas of:  Childhood Obesity; Community Health and Wellness; Financial Management; Food and Nutrition; Food Safety; Healthy Homes and the Environment; Improving Children’s Lives; and Protecting our Resources – Family Life.</w:t>
    </w:r>
  </w:p>
  <w:p w:rsidR="0093519F" w:rsidRDefault="00935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81" w:rsidRDefault="00136B81" w:rsidP="00FD6913">
      <w:r>
        <w:separator/>
      </w:r>
    </w:p>
  </w:footnote>
  <w:footnote w:type="continuationSeparator" w:id="0">
    <w:p w:rsidR="00136B81" w:rsidRDefault="00136B81" w:rsidP="00FD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9F" w:rsidRPr="00D43FFA" w:rsidRDefault="0093519F" w:rsidP="00D43FFA">
    <w:pPr>
      <w:pStyle w:val="Header"/>
    </w:pPr>
    <w:r>
      <w:t>PAGE 2                                                                                                                                                                               NEAFCS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55C5"/>
    <w:multiLevelType w:val="hybridMultilevel"/>
    <w:tmpl w:val="468860A4"/>
    <w:lvl w:ilvl="0" w:tplc="CD48B8AA">
      <w:start w:val="1"/>
      <w:numFmt w:val="bullet"/>
      <w:lvlText w:val=""/>
      <w:lvlJc w:val="left"/>
      <w:pPr>
        <w:ind w:left="477" w:hanging="360"/>
      </w:pPr>
      <w:rPr>
        <w:rFonts w:ascii="Symbol" w:eastAsia="Symbol" w:hAnsi="Symbol" w:hint="default"/>
        <w:color w:val="231F20"/>
        <w:w w:val="76"/>
        <w:sz w:val="20"/>
        <w:szCs w:val="20"/>
      </w:rPr>
    </w:lvl>
    <w:lvl w:ilvl="1" w:tplc="E3F86618">
      <w:start w:val="1"/>
      <w:numFmt w:val="bullet"/>
      <w:lvlText w:val="•"/>
      <w:lvlJc w:val="left"/>
      <w:pPr>
        <w:ind w:left="981" w:hanging="360"/>
      </w:pPr>
      <w:rPr>
        <w:rFonts w:hint="default"/>
      </w:rPr>
    </w:lvl>
    <w:lvl w:ilvl="2" w:tplc="2C7C0B7A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3" w:tplc="BEBEFF06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4" w:tplc="2AF45F1E">
      <w:start w:val="1"/>
      <w:numFmt w:val="bullet"/>
      <w:lvlText w:val="•"/>
      <w:lvlJc w:val="left"/>
      <w:pPr>
        <w:ind w:left="2494" w:hanging="360"/>
      </w:pPr>
      <w:rPr>
        <w:rFonts w:hint="default"/>
      </w:rPr>
    </w:lvl>
    <w:lvl w:ilvl="5" w:tplc="9818349E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6" w:tplc="D802443C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7" w:tplc="3918B0AA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8" w:tplc="F31074E6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6E"/>
    <w:rsid w:val="00021BF7"/>
    <w:rsid w:val="00136B81"/>
    <w:rsid w:val="00140D9B"/>
    <w:rsid w:val="001D3FB9"/>
    <w:rsid w:val="002239D3"/>
    <w:rsid w:val="00266573"/>
    <w:rsid w:val="00331D5F"/>
    <w:rsid w:val="00344F39"/>
    <w:rsid w:val="00374F2B"/>
    <w:rsid w:val="00383B8E"/>
    <w:rsid w:val="00397F48"/>
    <w:rsid w:val="003E3A1C"/>
    <w:rsid w:val="003F2355"/>
    <w:rsid w:val="004B577B"/>
    <w:rsid w:val="004B7355"/>
    <w:rsid w:val="00575862"/>
    <w:rsid w:val="00583D0B"/>
    <w:rsid w:val="005E716E"/>
    <w:rsid w:val="006C48A7"/>
    <w:rsid w:val="006D503C"/>
    <w:rsid w:val="00790B72"/>
    <w:rsid w:val="007A6352"/>
    <w:rsid w:val="0085075F"/>
    <w:rsid w:val="00890FCA"/>
    <w:rsid w:val="008A5DEC"/>
    <w:rsid w:val="008D7B54"/>
    <w:rsid w:val="009177F1"/>
    <w:rsid w:val="0093519F"/>
    <w:rsid w:val="009A0EFB"/>
    <w:rsid w:val="009D40EC"/>
    <w:rsid w:val="00B40505"/>
    <w:rsid w:val="00BA2B9D"/>
    <w:rsid w:val="00C31C21"/>
    <w:rsid w:val="00CD691A"/>
    <w:rsid w:val="00D4149C"/>
    <w:rsid w:val="00D43FFA"/>
    <w:rsid w:val="00EA6478"/>
    <w:rsid w:val="00EF369A"/>
    <w:rsid w:val="00F107F8"/>
    <w:rsid w:val="00F557DF"/>
    <w:rsid w:val="00F70867"/>
    <w:rsid w:val="00FA0C8B"/>
    <w:rsid w:val="00FC3FF7"/>
    <w:rsid w:val="00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b13b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117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6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9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691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13"/>
  </w:style>
  <w:style w:type="paragraph" w:styleId="Footer">
    <w:name w:val="footer"/>
    <w:basedOn w:val="Normal"/>
    <w:link w:val="FooterChar"/>
    <w:uiPriority w:val="99"/>
    <w:unhideWhenUsed/>
    <w:rsid w:val="00FD6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13"/>
  </w:style>
  <w:style w:type="character" w:styleId="Hyperlink">
    <w:name w:val="Hyperlink"/>
    <w:basedOn w:val="DefaultParagraphFont"/>
    <w:uiPriority w:val="99"/>
    <w:unhideWhenUsed/>
    <w:rsid w:val="00344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117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D6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9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691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13"/>
  </w:style>
  <w:style w:type="paragraph" w:styleId="Footer">
    <w:name w:val="footer"/>
    <w:basedOn w:val="Normal"/>
    <w:link w:val="FooterChar"/>
    <w:uiPriority w:val="99"/>
    <w:unhideWhenUsed/>
    <w:rsid w:val="00FD6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13"/>
  </w:style>
  <w:style w:type="character" w:styleId="Hyperlink">
    <w:name w:val="Hyperlink"/>
    <w:basedOn w:val="DefaultParagraphFont"/>
    <w:uiPriority w:val="99"/>
    <w:unhideWhenUsed/>
    <w:rsid w:val="00344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sa=i&amp;rct=j&amp;q=&amp;esrc=s&amp;source=images&amp;cd=&amp;cad=rja&amp;uact=8&amp;docid=sPYZSmDHXTKVSM&amp;tbnid=HiKslDp2iAwBzM:&amp;ved=0CAUQjRw&amp;url=http://stock-clip.com/video-footage/speculation/2&amp;ei=2Fg8U4KDLofRsQTKrIHgDQ&amp;bvm=bv.63934634,d.dmQ&amp;psig=AFQjCNEnole9JLBD0CWSy8ZGBBRxOU5mNw&amp;ust=139655022249187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cm5@cornell.ed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eafc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m5@cornell.ed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7BA1D5C4</Template>
  <TotalTime>38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NEAFCSImpact2012.pdf</vt:lpstr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NEAFCSImpact2012.pdf</dc:title>
  <dc:creator>Amy Peterson</dc:creator>
  <cp:lastModifiedBy>Theresa Mayhew</cp:lastModifiedBy>
  <cp:revision>11</cp:revision>
  <dcterms:created xsi:type="dcterms:W3CDTF">2014-04-02T19:01:00Z</dcterms:created>
  <dcterms:modified xsi:type="dcterms:W3CDTF">2014-05-12T15:24:00Z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LastSaved">
    <vt:filetime>2014-03-24T00:00:00Z</vt:filetime>
  </property>
</Properties>
</file>