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908" w:rsidRDefault="0037393F">
      <w:pPr>
        <w:pBdr>
          <w:top w:val="nil"/>
          <w:left w:val="nil"/>
          <w:bottom w:val="nil"/>
          <w:right w:val="nil"/>
          <w:between w:val="nil"/>
        </w:pBdr>
        <w:tabs>
          <w:tab w:val="left" w:pos="4320"/>
        </w:tabs>
        <w:spacing w:after="280"/>
        <w:ind w:left="4320" w:right="936" w:firstLine="720"/>
        <w:rPr>
          <w:rFonts w:ascii="Arial" w:eastAsia="Arial" w:hAnsi="Arial" w:cs="Arial"/>
          <w:color w:val="000000"/>
        </w:rPr>
      </w:pPr>
      <w:bookmarkStart w:id="0" w:name="_GoBack"/>
      <w:bookmarkEnd w:id="0"/>
      <w:r>
        <w:rPr>
          <w:rFonts w:ascii="Arial" w:eastAsia="Arial" w:hAnsi="Arial" w:cs="Arial"/>
          <w:color w:val="000000"/>
        </w:rPr>
        <w:t xml:space="preserve">             </w:t>
      </w:r>
    </w:p>
    <w:p w:rsidR="00041908" w:rsidRDefault="0037393F">
      <w:pPr>
        <w:pBdr>
          <w:top w:val="nil"/>
          <w:left w:val="nil"/>
          <w:bottom w:val="nil"/>
          <w:right w:val="nil"/>
          <w:between w:val="nil"/>
        </w:pBdr>
        <w:spacing w:before="280" w:after="280"/>
        <w:rPr>
          <w:rFonts w:ascii="Arial" w:eastAsia="Arial" w:hAnsi="Arial" w:cs="Arial"/>
          <w:color w:val="000000"/>
        </w:rPr>
      </w:pPr>
      <w:r>
        <w:rPr>
          <w:rFonts w:ascii="Arial" w:eastAsia="Arial" w:hAnsi="Arial" w:cs="Arial"/>
          <w:noProof/>
          <w:color w:val="000000"/>
        </w:rPr>
        <w:drawing>
          <wp:inline distT="0" distB="0" distL="114300" distR="114300">
            <wp:extent cx="6048375" cy="1323658"/>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6048375" cy="1323658"/>
                    </a:xfrm>
                    <a:prstGeom prst="rect">
                      <a:avLst/>
                    </a:prstGeom>
                    <a:ln/>
                  </pic:spPr>
                </pic:pic>
              </a:graphicData>
            </a:graphic>
          </wp:inline>
        </w:drawing>
      </w:r>
    </w:p>
    <w:p w:rsidR="00041908" w:rsidRDefault="0037393F">
      <w:pPr>
        <w:pBdr>
          <w:top w:val="nil"/>
          <w:left w:val="nil"/>
          <w:bottom w:val="nil"/>
          <w:right w:val="nil"/>
          <w:between w:val="nil"/>
        </w:pBdr>
        <w:spacing w:before="280" w:after="280"/>
        <w:rPr>
          <w:rFonts w:ascii="Arial" w:eastAsia="Arial" w:hAnsi="Arial" w:cs="Arial"/>
          <w:color w:val="000000"/>
          <w:sz w:val="20"/>
          <w:szCs w:val="20"/>
        </w:rPr>
      </w:pPr>
      <w:r>
        <w:rPr>
          <w:rFonts w:ascii="Arial" w:eastAsia="Arial" w:hAnsi="Arial" w:cs="Arial"/>
          <w:b/>
          <w:i/>
          <w:color w:val="BF9000"/>
          <w:sz w:val="22"/>
          <w:szCs w:val="22"/>
        </w:rPr>
        <w:t>The Purpose</w:t>
      </w:r>
      <w:r>
        <w:rPr>
          <w:rFonts w:ascii="Arial" w:eastAsia="Arial" w:hAnsi="Arial" w:cs="Arial"/>
          <w:i/>
          <w:color w:val="BF9000"/>
          <w:sz w:val="22"/>
          <w:szCs w:val="22"/>
        </w:rPr>
        <w:t xml:space="preserve"> </w:t>
      </w:r>
      <w:r>
        <w:rPr>
          <w:rFonts w:ascii="Arial" w:eastAsia="Arial" w:hAnsi="Arial" w:cs="Arial"/>
          <w:i/>
          <w:color w:val="000000"/>
          <w:sz w:val="20"/>
          <w:szCs w:val="20"/>
        </w:rPr>
        <w:t xml:space="preserve">of the association is to provide a professional organization for Extension professionals in Family &amp; Consumer Sciences who work in family related programs or administration, to promote professional growth and development. </w:t>
      </w:r>
    </w:p>
    <w:p w:rsidR="00041908" w:rsidRDefault="0037393F">
      <w:pPr>
        <w:pBdr>
          <w:top w:val="nil"/>
          <w:left w:val="nil"/>
          <w:bottom w:val="nil"/>
          <w:right w:val="nil"/>
          <w:between w:val="nil"/>
        </w:pBdr>
        <w:spacing w:before="280"/>
        <w:rPr>
          <w:color w:val="BF9000"/>
        </w:rPr>
      </w:pPr>
      <w:r>
        <w:rPr>
          <w:rFonts w:ascii="Arial" w:eastAsia="Arial" w:hAnsi="Arial" w:cs="Arial"/>
          <w:b/>
          <w:i/>
          <w:color w:val="BF9000"/>
          <w:sz w:val="22"/>
          <w:szCs w:val="22"/>
        </w:rPr>
        <w:t>The Vision</w:t>
      </w:r>
      <w:r>
        <w:rPr>
          <w:color w:val="BF9000"/>
        </w:rPr>
        <w:t xml:space="preserve"> </w:t>
      </w:r>
    </w:p>
    <w:p w:rsidR="00041908" w:rsidRDefault="0037393F">
      <w:pPr>
        <w:numPr>
          <w:ilvl w:val="0"/>
          <w:numId w:val="1"/>
        </w:numPr>
        <w:spacing w:line="276" w:lineRule="auto"/>
        <w:rPr>
          <w:rFonts w:ascii="Arial" w:eastAsia="Arial" w:hAnsi="Arial" w:cs="Arial"/>
          <w:color w:val="222222"/>
          <w:sz w:val="20"/>
          <w:szCs w:val="20"/>
        </w:rPr>
      </w:pPr>
      <w:r>
        <w:rPr>
          <w:rFonts w:ascii="Arial" w:eastAsia="Arial" w:hAnsi="Arial" w:cs="Arial"/>
          <w:color w:val="222222"/>
          <w:sz w:val="20"/>
          <w:szCs w:val="20"/>
        </w:rPr>
        <w:t xml:space="preserve">Voice for professionals in Extension Family &amp; Consumer Sciences program development </w:t>
      </w:r>
    </w:p>
    <w:p w:rsidR="00041908" w:rsidRDefault="0037393F">
      <w:pPr>
        <w:numPr>
          <w:ilvl w:val="0"/>
          <w:numId w:val="1"/>
        </w:numPr>
        <w:spacing w:line="276" w:lineRule="auto"/>
        <w:rPr>
          <w:rFonts w:ascii="Arial" w:eastAsia="Arial" w:hAnsi="Arial" w:cs="Arial"/>
          <w:color w:val="222222"/>
          <w:sz w:val="20"/>
          <w:szCs w:val="20"/>
        </w:rPr>
      </w:pPr>
      <w:r>
        <w:rPr>
          <w:rFonts w:ascii="Arial" w:eastAsia="Arial" w:hAnsi="Arial" w:cs="Arial"/>
          <w:color w:val="222222"/>
          <w:sz w:val="20"/>
          <w:szCs w:val="20"/>
        </w:rPr>
        <w:t xml:space="preserve">Provide an information network for its members </w:t>
      </w:r>
    </w:p>
    <w:p w:rsidR="00041908" w:rsidRDefault="0037393F">
      <w:pPr>
        <w:numPr>
          <w:ilvl w:val="0"/>
          <w:numId w:val="1"/>
        </w:numPr>
        <w:spacing w:line="276" w:lineRule="auto"/>
        <w:rPr>
          <w:rFonts w:ascii="Arial" w:eastAsia="Arial" w:hAnsi="Arial" w:cs="Arial"/>
          <w:color w:val="222222"/>
          <w:sz w:val="20"/>
          <w:szCs w:val="20"/>
        </w:rPr>
      </w:pPr>
      <w:r>
        <w:rPr>
          <w:rFonts w:ascii="Arial" w:eastAsia="Arial" w:hAnsi="Arial" w:cs="Arial"/>
          <w:color w:val="222222"/>
          <w:sz w:val="20"/>
          <w:szCs w:val="20"/>
        </w:rPr>
        <w:t xml:space="preserve">Provide continuing education for Extension professionals </w:t>
      </w:r>
    </w:p>
    <w:p w:rsidR="00041908" w:rsidRDefault="0037393F">
      <w:pPr>
        <w:numPr>
          <w:ilvl w:val="0"/>
          <w:numId w:val="1"/>
        </w:numPr>
        <w:spacing w:after="240" w:line="276" w:lineRule="auto"/>
        <w:rPr>
          <w:rFonts w:ascii="Arial" w:eastAsia="Arial" w:hAnsi="Arial" w:cs="Arial"/>
          <w:color w:val="222222"/>
          <w:sz w:val="20"/>
          <w:szCs w:val="20"/>
        </w:rPr>
      </w:pPr>
      <w:r>
        <w:rPr>
          <w:rFonts w:ascii="Arial" w:eastAsia="Arial" w:hAnsi="Arial" w:cs="Arial"/>
          <w:color w:val="222222"/>
          <w:sz w:val="20"/>
          <w:szCs w:val="20"/>
        </w:rPr>
        <w:t xml:space="preserve">Recognize Extension professionals through awards and recognition </w:t>
      </w:r>
    </w:p>
    <w:p w:rsidR="00041908" w:rsidRDefault="0037393F">
      <w:pPr>
        <w:pBdr>
          <w:top w:val="nil"/>
          <w:left w:val="nil"/>
          <w:bottom w:val="nil"/>
          <w:right w:val="nil"/>
          <w:between w:val="nil"/>
        </w:pBdr>
        <w:rPr>
          <w:rFonts w:ascii="Arial" w:eastAsia="Arial" w:hAnsi="Arial" w:cs="Arial"/>
          <w:b/>
          <w:color w:val="BF9000"/>
          <w:sz w:val="22"/>
          <w:szCs w:val="22"/>
        </w:rPr>
      </w:pPr>
      <w:r>
        <w:rPr>
          <w:rFonts w:ascii="Arial" w:eastAsia="Arial" w:hAnsi="Arial" w:cs="Arial"/>
          <w:b/>
          <w:i/>
          <w:color w:val="BF9000"/>
          <w:sz w:val="22"/>
          <w:szCs w:val="22"/>
        </w:rPr>
        <w:t>The Benefits</w:t>
      </w:r>
    </w:p>
    <w:p w:rsidR="00041908" w:rsidRDefault="0037393F">
      <w:pPr>
        <w:numPr>
          <w:ilvl w:val="0"/>
          <w:numId w:val="2"/>
        </w:numPr>
        <w:pBdr>
          <w:top w:val="nil"/>
          <w:left w:val="nil"/>
          <w:bottom w:val="nil"/>
          <w:right w:val="nil"/>
          <w:between w:val="nil"/>
        </w:pBdr>
        <w:rPr>
          <w:color w:val="000000"/>
          <w:sz w:val="20"/>
          <w:szCs w:val="20"/>
        </w:rPr>
      </w:pPr>
      <w:r>
        <w:rPr>
          <w:rFonts w:ascii="Arial" w:eastAsia="Arial" w:hAnsi="Arial" w:cs="Arial"/>
          <w:color w:val="000000"/>
          <w:sz w:val="20"/>
          <w:szCs w:val="20"/>
        </w:rPr>
        <w:t>Opportunity to develop leadership and management skills</w:t>
      </w:r>
    </w:p>
    <w:p w:rsidR="00041908" w:rsidRDefault="0037393F">
      <w:pPr>
        <w:numPr>
          <w:ilvl w:val="0"/>
          <w:numId w:val="2"/>
        </w:numPr>
        <w:pBdr>
          <w:top w:val="nil"/>
          <w:left w:val="nil"/>
          <w:bottom w:val="nil"/>
          <w:right w:val="nil"/>
          <w:between w:val="nil"/>
        </w:pBdr>
        <w:rPr>
          <w:color w:val="000000"/>
          <w:sz w:val="20"/>
          <w:szCs w:val="20"/>
        </w:rPr>
      </w:pPr>
      <w:r>
        <w:rPr>
          <w:rFonts w:ascii="Arial" w:eastAsia="Arial" w:hAnsi="Arial" w:cs="Arial"/>
          <w:color w:val="000000"/>
          <w:sz w:val="20"/>
          <w:szCs w:val="20"/>
        </w:rPr>
        <w:t xml:space="preserve">Access to professional development, sharing and networking on MN Affiliate and national levels through webinars, Annual Session, newsletters, blogs, social media, etc.  </w:t>
      </w:r>
    </w:p>
    <w:p w:rsidR="00041908" w:rsidRDefault="0037393F">
      <w:pPr>
        <w:numPr>
          <w:ilvl w:val="0"/>
          <w:numId w:val="2"/>
        </w:numPr>
        <w:pBdr>
          <w:top w:val="nil"/>
          <w:left w:val="nil"/>
          <w:bottom w:val="nil"/>
          <w:right w:val="nil"/>
          <w:between w:val="nil"/>
        </w:pBdr>
        <w:rPr>
          <w:color w:val="000000"/>
          <w:sz w:val="20"/>
          <w:szCs w:val="20"/>
        </w:rPr>
      </w:pPr>
      <w:r>
        <w:rPr>
          <w:rFonts w:ascii="Arial" w:eastAsia="Arial" w:hAnsi="Arial" w:cs="Arial"/>
          <w:color w:val="000000"/>
          <w:sz w:val="20"/>
          <w:szCs w:val="20"/>
        </w:rPr>
        <w:t>Recognition for outstanding achievements through awards and acknowledgement</w:t>
      </w:r>
    </w:p>
    <w:p w:rsidR="00041908" w:rsidRDefault="0037393F">
      <w:pPr>
        <w:numPr>
          <w:ilvl w:val="0"/>
          <w:numId w:val="2"/>
        </w:numPr>
        <w:pBdr>
          <w:top w:val="nil"/>
          <w:left w:val="nil"/>
          <w:bottom w:val="nil"/>
          <w:right w:val="nil"/>
          <w:between w:val="nil"/>
        </w:pBdr>
        <w:rPr>
          <w:color w:val="000000"/>
          <w:sz w:val="20"/>
          <w:szCs w:val="20"/>
        </w:rPr>
      </w:pPr>
      <w:r>
        <w:rPr>
          <w:rFonts w:ascii="Arial" w:eastAsia="Arial" w:hAnsi="Arial" w:cs="Arial"/>
          <w:color w:val="000000"/>
          <w:sz w:val="20"/>
          <w:szCs w:val="20"/>
        </w:rPr>
        <w:t>Exchange e</w:t>
      </w:r>
      <w:r>
        <w:rPr>
          <w:rFonts w:ascii="Arial" w:eastAsia="Arial" w:hAnsi="Arial" w:cs="Arial"/>
          <w:color w:val="000000"/>
          <w:sz w:val="20"/>
          <w:szCs w:val="20"/>
        </w:rPr>
        <w:t>ducational programming, ideas and methods through peer review process</w:t>
      </w:r>
    </w:p>
    <w:p w:rsidR="00041908" w:rsidRDefault="0037393F">
      <w:pPr>
        <w:numPr>
          <w:ilvl w:val="0"/>
          <w:numId w:val="2"/>
        </w:numPr>
        <w:pBdr>
          <w:top w:val="nil"/>
          <w:left w:val="nil"/>
          <w:bottom w:val="nil"/>
          <w:right w:val="nil"/>
          <w:between w:val="nil"/>
        </w:pBdr>
        <w:rPr>
          <w:color w:val="000000"/>
          <w:sz w:val="20"/>
          <w:szCs w:val="20"/>
        </w:rPr>
      </w:pPr>
      <w:r>
        <w:rPr>
          <w:rFonts w:ascii="Arial" w:eastAsia="Arial" w:hAnsi="Arial" w:cs="Arial"/>
          <w:color w:val="000000"/>
          <w:sz w:val="20"/>
          <w:szCs w:val="20"/>
        </w:rPr>
        <w:t>Forum and network to discuss common Extension concern</w:t>
      </w:r>
    </w:p>
    <w:p w:rsidR="00041908" w:rsidRDefault="0037393F">
      <w:pPr>
        <w:numPr>
          <w:ilvl w:val="0"/>
          <w:numId w:val="2"/>
        </w:numPr>
        <w:pBdr>
          <w:top w:val="nil"/>
          <w:left w:val="nil"/>
          <w:bottom w:val="nil"/>
          <w:right w:val="nil"/>
          <w:between w:val="nil"/>
        </w:pBdr>
        <w:spacing w:after="280"/>
        <w:rPr>
          <w:color w:val="000000"/>
          <w:sz w:val="20"/>
          <w:szCs w:val="20"/>
        </w:rPr>
      </w:pPr>
      <w:r>
        <w:rPr>
          <w:rFonts w:ascii="Arial" w:eastAsia="Arial" w:hAnsi="Arial" w:cs="Arial"/>
          <w:color w:val="000000"/>
          <w:sz w:val="20"/>
          <w:szCs w:val="20"/>
        </w:rPr>
        <w:t>Opportunity to develop lasting friendships with those who do similar work</w:t>
      </w:r>
    </w:p>
    <w:p w:rsidR="00041908" w:rsidRDefault="0037393F">
      <w:pPr>
        <w:pBdr>
          <w:top w:val="nil"/>
          <w:left w:val="nil"/>
          <w:bottom w:val="nil"/>
          <w:right w:val="nil"/>
          <w:between w:val="nil"/>
        </w:pBdr>
        <w:spacing w:before="280" w:after="280"/>
        <w:rPr>
          <w:rFonts w:ascii="Arial" w:eastAsia="Arial" w:hAnsi="Arial" w:cs="Arial"/>
          <w:color w:val="C45911"/>
        </w:rPr>
      </w:pPr>
      <w:r>
        <w:rPr>
          <w:rFonts w:ascii="Arial" w:eastAsia="Arial" w:hAnsi="Arial" w:cs="Arial"/>
          <w:b/>
          <w:i/>
          <w:color w:val="BF9000"/>
          <w:sz w:val="22"/>
          <w:szCs w:val="22"/>
        </w:rPr>
        <w:t>NEAFCS Membership Options</w:t>
      </w:r>
      <w:r>
        <w:rPr>
          <w:rFonts w:ascii="Arial" w:eastAsia="Arial" w:hAnsi="Arial" w:cs="Arial"/>
          <w:b/>
          <w:i/>
          <w:color w:val="BF9000"/>
        </w:rPr>
        <w:t xml:space="preserve">   </w:t>
      </w:r>
      <w:r>
        <w:rPr>
          <w:rFonts w:ascii="Arial" w:eastAsia="Arial" w:hAnsi="Arial" w:cs="Arial"/>
          <w:b/>
          <w:i/>
          <w:color w:val="C45911"/>
        </w:rPr>
        <w:t xml:space="preserve">                                                                                     </w:t>
      </w:r>
      <w:r>
        <w:rPr>
          <w:rFonts w:ascii="Arial" w:eastAsia="Arial" w:hAnsi="Arial" w:cs="Arial"/>
          <w:b/>
          <w:i/>
          <w:color w:val="000000"/>
          <w:sz w:val="22"/>
          <w:szCs w:val="22"/>
        </w:rPr>
        <w:t xml:space="preserve">Active Member </w:t>
      </w:r>
      <w:r>
        <w:rPr>
          <w:rFonts w:ascii="Arial" w:eastAsia="Arial" w:hAnsi="Arial" w:cs="Arial"/>
          <w:color w:val="000000"/>
          <w:sz w:val="22"/>
          <w:szCs w:val="22"/>
        </w:rPr>
        <w:t xml:space="preserve">– </w:t>
      </w:r>
      <w:r>
        <w:rPr>
          <w:rFonts w:ascii="Arial" w:eastAsia="Arial" w:hAnsi="Arial" w:cs="Arial"/>
          <w:color w:val="000000"/>
          <w:sz w:val="20"/>
          <w:szCs w:val="20"/>
        </w:rPr>
        <w:t>Extension employees working in any capacity with family and consumer sciences programming with a minimum of a Bachelor’s degree can join as an Active Membe</w:t>
      </w:r>
      <w:r>
        <w:rPr>
          <w:rFonts w:ascii="Arial" w:eastAsia="Arial" w:hAnsi="Arial" w:cs="Arial"/>
          <w:color w:val="000000"/>
          <w:sz w:val="20"/>
          <w:szCs w:val="20"/>
        </w:rPr>
        <w:t>r. Annual dues of $120 includes membership and involvement in all opportunities and activities on the Minnesota Affiliate and national levels.</w:t>
      </w:r>
    </w:p>
    <w:p w:rsidR="00041908" w:rsidRDefault="0037393F">
      <w:pPr>
        <w:pBdr>
          <w:top w:val="nil"/>
          <w:left w:val="nil"/>
          <w:bottom w:val="nil"/>
          <w:right w:val="nil"/>
          <w:between w:val="nil"/>
        </w:pBdr>
        <w:spacing w:before="280" w:after="280"/>
        <w:rPr>
          <w:rFonts w:ascii="Arial" w:eastAsia="Arial" w:hAnsi="Arial" w:cs="Arial"/>
          <w:color w:val="000000"/>
          <w:sz w:val="20"/>
          <w:szCs w:val="20"/>
        </w:rPr>
      </w:pPr>
      <w:r>
        <w:rPr>
          <w:rFonts w:ascii="Arial" w:eastAsia="Arial" w:hAnsi="Arial" w:cs="Arial"/>
          <w:b/>
          <w:i/>
          <w:color w:val="000000"/>
          <w:sz w:val="22"/>
          <w:szCs w:val="22"/>
        </w:rPr>
        <w:t>Minnesota Affiliate Active Member</w:t>
      </w:r>
      <w:r>
        <w:rPr>
          <w:rFonts w:ascii="Arial" w:eastAsia="Arial" w:hAnsi="Arial" w:cs="Arial"/>
          <w:color w:val="000000"/>
          <w:sz w:val="22"/>
          <w:szCs w:val="22"/>
        </w:rPr>
        <w:t xml:space="preserve"> – </w:t>
      </w:r>
      <w:r>
        <w:rPr>
          <w:rFonts w:ascii="Arial" w:eastAsia="Arial" w:hAnsi="Arial" w:cs="Arial"/>
          <w:color w:val="000000"/>
          <w:sz w:val="20"/>
          <w:szCs w:val="20"/>
        </w:rPr>
        <w:t>Extension employee working as a SNAP-Ed Coordinator or Educator, Community Nu</w:t>
      </w:r>
      <w:r>
        <w:rPr>
          <w:rFonts w:ascii="Arial" w:eastAsia="Arial" w:hAnsi="Arial" w:cs="Arial"/>
          <w:color w:val="000000"/>
          <w:sz w:val="20"/>
          <w:szCs w:val="20"/>
        </w:rPr>
        <w:t>trition Educator, Financial Capability Educator, or similar position with or without a Bachelor’s degree can join as a Minnesota Affiliate Active Member. Annual dues of $40 include Minnesota Affiliate involvement such as holding an office, serving on a com</w:t>
      </w:r>
      <w:r>
        <w:rPr>
          <w:rFonts w:ascii="Arial" w:eastAsia="Arial" w:hAnsi="Arial" w:cs="Arial"/>
          <w:color w:val="000000"/>
          <w:sz w:val="20"/>
          <w:szCs w:val="20"/>
        </w:rPr>
        <w:t xml:space="preserve">mittee, voting on state level issues, and receiving state level awards. </w:t>
      </w:r>
      <w:r>
        <w:rPr>
          <w:rFonts w:ascii="Arial" w:eastAsia="Arial" w:hAnsi="Arial" w:cs="Arial"/>
          <w:color w:val="000000"/>
          <w:sz w:val="20"/>
          <w:szCs w:val="20"/>
          <w:highlight w:val="white"/>
        </w:rPr>
        <w:t>This provides MN Affiliate membership only, no national level membership or involvement.</w:t>
      </w:r>
    </w:p>
    <w:p w:rsidR="00041908" w:rsidRDefault="0037393F">
      <w:pPr>
        <w:pBdr>
          <w:top w:val="nil"/>
          <w:left w:val="nil"/>
          <w:bottom w:val="nil"/>
          <w:right w:val="nil"/>
          <w:between w:val="nil"/>
        </w:pBdr>
        <w:spacing w:before="280" w:after="280"/>
        <w:rPr>
          <w:rFonts w:ascii="Arial" w:eastAsia="Arial" w:hAnsi="Arial" w:cs="Arial"/>
          <w:color w:val="000000"/>
          <w:sz w:val="20"/>
          <w:szCs w:val="20"/>
        </w:rPr>
      </w:pPr>
      <w:r>
        <w:rPr>
          <w:rFonts w:ascii="Arial" w:eastAsia="Arial" w:hAnsi="Arial" w:cs="Arial"/>
          <w:b/>
          <w:i/>
          <w:color w:val="000000"/>
          <w:sz w:val="22"/>
          <w:szCs w:val="22"/>
        </w:rPr>
        <w:t>Life Member</w:t>
      </w:r>
      <w:r>
        <w:rPr>
          <w:rFonts w:ascii="Arial" w:eastAsia="Arial" w:hAnsi="Arial" w:cs="Arial"/>
          <w:b/>
          <w:color w:val="000000"/>
          <w:sz w:val="22"/>
          <w:szCs w:val="22"/>
        </w:rPr>
        <w:t xml:space="preserve"> </w:t>
      </w:r>
      <w:r>
        <w:rPr>
          <w:rFonts w:ascii="Arial" w:eastAsia="Arial" w:hAnsi="Arial" w:cs="Arial"/>
          <w:color w:val="000000"/>
          <w:sz w:val="22"/>
          <w:szCs w:val="22"/>
        </w:rPr>
        <w:t xml:space="preserve">– </w:t>
      </w:r>
      <w:r>
        <w:rPr>
          <w:rFonts w:ascii="Arial" w:eastAsia="Arial" w:hAnsi="Arial" w:cs="Arial"/>
          <w:color w:val="000000"/>
          <w:sz w:val="20"/>
          <w:szCs w:val="20"/>
        </w:rPr>
        <w:t>Those who have been an active member for at least five (5) years and have retired, resigned or otherwise ineligible for active membership can join as an NEAFCS Life Member. One-time dues of $300 include Minnesota Affiliate and national life membership.</w:t>
      </w:r>
    </w:p>
    <w:p w:rsidR="00041908" w:rsidRDefault="0037393F">
      <w:pPr>
        <w:pBdr>
          <w:top w:val="nil"/>
          <w:left w:val="nil"/>
          <w:bottom w:val="nil"/>
          <w:right w:val="nil"/>
          <w:between w:val="nil"/>
        </w:pBdr>
        <w:spacing w:before="280" w:after="280"/>
        <w:rPr>
          <w:rFonts w:ascii="Arial" w:eastAsia="Arial" w:hAnsi="Arial" w:cs="Arial"/>
          <w:color w:val="000000"/>
          <w:sz w:val="20"/>
          <w:szCs w:val="20"/>
        </w:rPr>
      </w:pPr>
      <w:r>
        <w:rPr>
          <w:rFonts w:ascii="Arial" w:eastAsia="Arial" w:hAnsi="Arial" w:cs="Arial"/>
          <w:b/>
          <w:i/>
          <w:color w:val="000000"/>
          <w:sz w:val="22"/>
          <w:szCs w:val="22"/>
        </w:rPr>
        <w:t>Min</w:t>
      </w:r>
      <w:r>
        <w:rPr>
          <w:rFonts w:ascii="Arial" w:eastAsia="Arial" w:hAnsi="Arial" w:cs="Arial"/>
          <w:b/>
          <w:i/>
          <w:color w:val="000000"/>
          <w:sz w:val="22"/>
          <w:szCs w:val="22"/>
        </w:rPr>
        <w:t>nesota Affiliate Life Member</w:t>
      </w:r>
      <w:r>
        <w:rPr>
          <w:rFonts w:ascii="Arial" w:eastAsia="Arial" w:hAnsi="Arial" w:cs="Arial"/>
          <w:color w:val="000000"/>
          <w:sz w:val="22"/>
          <w:szCs w:val="22"/>
        </w:rPr>
        <w:t xml:space="preserve"> – </w:t>
      </w:r>
      <w:r>
        <w:rPr>
          <w:rFonts w:ascii="Arial" w:eastAsia="Arial" w:hAnsi="Arial" w:cs="Arial"/>
          <w:color w:val="000000"/>
          <w:sz w:val="20"/>
          <w:szCs w:val="20"/>
        </w:rPr>
        <w:t xml:space="preserve">Those who have been an active member for at least five (5) years </w:t>
      </w:r>
      <w:proofErr w:type="gramStart"/>
      <w:r>
        <w:rPr>
          <w:rFonts w:ascii="Arial" w:eastAsia="Arial" w:hAnsi="Arial" w:cs="Arial"/>
          <w:color w:val="000000"/>
          <w:sz w:val="20"/>
          <w:szCs w:val="20"/>
        </w:rPr>
        <w:t>and</w:t>
      </w:r>
      <w:proofErr w:type="gramEnd"/>
      <w:r>
        <w:rPr>
          <w:rFonts w:ascii="Arial" w:eastAsia="Arial" w:hAnsi="Arial" w:cs="Arial"/>
          <w:color w:val="000000"/>
          <w:sz w:val="20"/>
          <w:szCs w:val="20"/>
        </w:rPr>
        <w:t xml:space="preserve"> have retired, resigned or otherwise ineligible for active membership can join as an NEAFCS Minnesota Affiliate Life Member. One-time dues of $50 for Minneso</w:t>
      </w:r>
      <w:r>
        <w:rPr>
          <w:rFonts w:ascii="Arial" w:eastAsia="Arial" w:hAnsi="Arial" w:cs="Arial"/>
          <w:color w:val="000000"/>
          <w:sz w:val="20"/>
          <w:szCs w:val="20"/>
        </w:rPr>
        <w:t>ta Affiliate membership only, no national membership or involvement.</w:t>
      </w:r>
    </w:p>
    <w:p w:rsidR="00041908" w:rsidRDefault="0037393F">
      <w:pPr>
        <w:pBdr>
          <w:top w:val="nil"/>
          <w:left w:val="nil"/>
          <w:bottom w:val="nil"/>
          <w:right w:val="nil"/>
          <w:between w:val="nil"/>
        </w:pBdr>
        <w:rPr>
          <w:rFonts w:ascii="Arial" w:eastAsia="Arial" w:hAnsi="Arial" w:cs="Arial"/>
          <w:color w:val="BF9000"/>
          <w:sz w:val="22"/>
          <w:szCs w:val="22"/>
        </w:rPr>
      </w:pPr>
      <w:r>
        <w:rPr>
          <w:rFonts w:ascii="Arial" w:eastAsia="Arial" w:hAnsi="Arial" w:cs="Arial"/>
          <w:b/>
          <w:i/>
          <w:color w:val="BF9000"/>
          <w:sz w:val="22"/>
          <w:szCs w:val="22"/>
        </w:rPr>
        <w:t>For More information</w:t>
      </w:r>
      <w:r>
        <w:rPr>
          <w:rFonts w:ascii="Arial" w:eastAsia="Arial" w:hAnsi="Arial" w:cs="Arial"/>
          <w:b/>
          <w:color w:val="BF9000"/>
          <w:sz w:val="22"/>
          <w:szCs w:val="22"/>
        </w:rPr>
        <w:t xml:space="preserve"> </w:t>
      </w:r>
    </w:p>
    <w:p w:rsidR="00041908" w:rsidRDefault="0037393F">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0"/>
          <w:szCs w:val="20"/>
        </w:rPr>
        <w:t xml:space="preserve">Contact Kathy Brandt, NEAFCS-MN Affiliate President, at </w:t>
      </w:r>
      <w:hyperlink r:id="rId6">
        <w:r>
          <w:rPr>
            <w:rFonts w:ascii="Arial" w:eastAsia="Arial" w:hAnsi="Arial" w:cs="Arial"/>
            <w:color w:val="1155CC"/>
            <w:sz w:val="20"/>
            <w:szCs w:val="20"/>
            <w:u w:val="single"/>
          </w:rPr>
          <w:t>brand030@umn.edu</w:t>
        </w:r>
      </w:hyperlink>
      <w:r>
        <w:rPr>
          <w:rFonts w:ascii="Arial" w:eastAsia="Arial" w:hAnsi="Arial" w:cs="Arial"/>
          <w:sz w:val="20"/>
          <w:szCs w:val="20"/>
        </w:rPr>
        <w:t xml:space="preserve"> </w:t>
      </w:r>
      <w:r>
        <w:rPr>
          <w:rFonts w:ascii="Arial" w:eastAsia="Arial" w:hAnsi="Arial" w:cs="Arial"/>
          <w:color w:val="000000"/>
          <w:sz w:val="20"/>
          <w:szCs w:val="20"/>
        </w:rPr>
        <w:t xml:space="preserve">or </w:t>
      </w:r>
      <w:r>
        <w:rPr>
          <w:rFonts w:ascii="Arial" w:eastAsia="Arial" w:hAnsi="Arial" w:cs="Arial"/>
          <w:color w:val="000000"/>
          <w:sz w:val="20"/>
          <w:szCs w:val="20"/>
          <w:highlight w:val="white"/>
        </w:rPr>
        <w:t>(507) 3</w:t>
      </w:r>
      <w:r>
        <w:rPr>
          <w:rFonts w:ascii="Arial" w:eastAsia="Arial" w:hAnsi="Arial" w:cs="Arial"/>
          <w:sz w:val="22"/>
          <w:szCs w:val="22"/>
        </w:rPr>
        <w:t>37-2820.</w:t>
      </w:r>
      <w:r>
        <w:rPr>
          <w:rFonts w:ascii="Arial" w:eastAsia="Arial" w:hAnsi="Arial" w:cs="Arial"/>
          <w:color w:val="000000"/>
          <w:sz w:val="22"/>
          <w:szCs w:val="22"/>
        </w:rPr>
        <w:tab/>
      </w:r>
    </w:p>
    <w:p w:rsidR="00041908" w:rsidRDefault="0037393F">
      <w:pPr>
        <w:pBdr>
          <w:top w:val="nil"/>
          <w:left w:val="nil"/>
          <w:bottom w:val="nil"/>
          <w:right w:val="nil"/>
          <w:between w:val="nil"/>
        </w:pBdr>
        <w:rPr>
          <w:rFonts w:ascii="Arial" w:eastAsia="Arial" w:hAnsi="Arial" w:cs="Arial"/>
          <w:sz w:val="16"/>
          <w:szCs w:val="16"/>
        </w:rPr>
      </w:pP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t xml:space="preserve">               </w:t>
      </w:r>
    </w:p>
    <w:p w:rsidR="00041908" w:rsidRDefault="00041908">
      <w:pPr>
        <w:pBdr>
          <w:top w:val="nil"/>
          <w:left w:val="nil"/>
          <w:bottom w:val="nil"/>
          <w:right w:val="nil"/>
          <w:between w:val="nil"/>
        </w:pBdr>
        <w:ind w:left="7920"/>
        <w:rPr>
          <w:rFonts w:ascii="Arial" w:eastAsia="Arial" w:hAnsi="Arial" w:cs="Arial"/>
          <w:sz w:val="14"/>
          <w:szCs w:val="14"/>
        </w:rPr>
      </w:pPr>
    </w:p>
    <w:p w:rsidR="00041908" w:rsidRDefault="00041908">
      <w:pPr>
        <w:pBdr>
          <w:top w:val="nil"/>
          <w:left w:val="nil"/>
          <w:bottom w:val="nil"/>
          <w:right w:val="nil"/>
          <w:between w:val="nil"/>
        </w:pBdr>
        <w:ind w:left="7920"/>
        <w:rPr>
          <w:rFonts w:ascii="Arial" w:eastAsia="Arial" w:hAnsi="Arial" w:cs="Arial"/>
          <w:sz w:val="14"/>
          <w:szCs w:val="14"/>
        </w:rPr>
      </w:pPr>
    </w:p>
    <w:p w:rsidR="00041908" w:rsidRDefault="0037393F">
      <w:pPr>
        <w:pBdr>
          <w:top w:val="nil"/>
          <w:left w:val="nil"/>
          <w:bottom w:val="nil"/>
          <w:right w:val="nil"/>
          <w:between w:val="nil"/>
        </w:pBdr>
        <w:ind w:left="7920"/>
        <w:rPr>
          <w:rFonts w:ascii="Arial" w:eastAsia="Arial" w:hAnsi="Arial" w:cs="Arial"/>
          <w:sz w:val="14"/>
          <w:szCs w:val="14"/>
        </w:rPr>
      </w:pPr>
      <w:r>
        <w:rPr>
          <w:rFonts w:ascii="Arial" w:eastAsia="Arial" w:hAnsi="Arial" w:cs="Arial"/>
          <w:sz w:val="14"/>
          <w:szCs w:val="14"/>
        </w:rPr>
        <w:t xml:space="preserve">              November 2019</w:t>
      </w:r>
    </w:p>
    <w:p w:rsidR="00041908" w:rsidRDefault="0037393F">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t xml:space="preserve">             </w:t>
      </w:r>
    </w:p>
    <w:sectPr w:rsidR="00041908">
      <w:pgSz w:w="12240" w:h="15840"/>
      <w:pgMar w:top="173" w:right="1260" w:bottom="446" w:left="135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22B22"/>
    <w:multiLevelType w:val="multilevel"/>
    <w:tmpl w:val="0ABC083C"/>
    <w:lvl w:ilvl="0">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67895177"/>
    <w:multiLevelType w:val="multilevel"/>
    <w:tmpl w:val="0FE88A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908"/>
    <w:rsid w:val="00041908"/>
    <w:rsid w:val="00373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68F467-3B11-4610-BF72-D3318536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and030@umn.edu"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M Driessen</dc:creator>
  <cp:lastModifiedBy>Suzanne M Driessen</cp:lastModifiedBy>
  <cp:revision>2</cp:revision>
  <dcterms:created xsi:type="dcterms:W3CDTF">2020-02-27T22:38:00Z</dcterms:created>
  <dcterms:modified xsi:type="dcterms:W3CDTF">2020-02-27T22:38:00Z</dcterms:modified>
</cp:coreProperties>
</file>